
<file path=[Content_Types].xml><?xml version="1.0" encoding="utf-8"?>
<Types xmlns="http://schemas.openxmlformats.org/package/2006/content-types">
  <Default Extension="png" ContentType="image/png"/>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EB72E7">
      <w:pPr>
        <w:tabs>
          <w:tab w:val="left" w:pos="3980"/>
        </w:tabs>
        <w:jc w:val="center"/>
        <w:rPr>
          <w:rFonts w:ascii="Century Gothic" w:hAnsi="Century Gothic" w:cs="Arial"/>
        </w:rPr>
      </w:pPr>
      <w:r>
        <w:rPr>
          <w:rFonts w:ascii="Century Gothic" w:hAnsi="Century Gothic" w:cs="Arial"/>
        </w:rPr>
        <w:drawing>
          <wp:inline distT="0" distB="0" distL="0" distR="0">
            <wp:extent cx="2066925"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113615" cy="1909423"/>
                    </a:xfrm>
                    <a:prstGeom prst="rect">
                      <a:avLst/>
                    </a:prstGeom>
                    <a:noFill/>
                    <a:ln>
                      <a:noFill/>
                    </a:ln>
                  </pic:spPr>
                </pic:pic>
              </a:graphicData>
            </a:graphic>
          </wp:inline>
        </w:drawing>
      </w:r>
    </w:p>
    <w:p w14:paraId="41A3FC82">
      <w:pPr>
        <w:rPr>
          <w:rFonts w:ascii="Century Gothic" w:hAnsi="Century Gothic" w:cs="Arial"/>
        </w:rPr>
      </w:pPr>
    </w:p>
    <w:p w14:paraId="4B1AD2FB">
      <w:pPr>
        <w:rPr>
          <w:rFonts w:ascii="Century Gothic" w:hAnsi="Century Gothic" w:cs="Arial"/>
        </w:rPr>
      </w:pPr>
    </w:p>
    <w:p w14:paraId="6B120CC6">
      <w:pPr>
        <w:jc w:val="center"/>
        <w:rPr>
          <w:rFonts w:ascii="Century Gothic" w:hAnsi="Century Gothic" w:cs="Arial"/>
          <w:b/>
        </w:rPr>
      </w:pPr>
    </w:p>
    <w:p w14:paraId="2E8102D0">
      <w:pPr>
        <w:jc w:val="center"/>
        <w:rPr>
          <w:rFonts w:ascii="Century Gothic" w:hAnsi="Century Gothic" w:cs="Arial"/>
          <w:b/>
          <w:sz w:val="28"/>
          <w:szCs w:val="28"/>
        </w:rPr>
      </w:pPr>
      <w:r>
        <w:rPr>
          <w:rFonts w:ascii="Century Gothic" w:hAnsi="Century Gothic" w:cs="Arial"/>
          <w:b/>
          <w:sz w:val="28"/>
          <w:szCs w:val="28"/>
        </w:rPr>
        <w:t xml:space="preserve">ECSA-HC Experts Committee on Eye Health </w:t>
      </w:r>
    </w:p>
    <w:p w14:paraId="2655BB35">
      <w:pPr>
        <w:jc w:val="center"/>
        <w:rPr>
          <w:rFonts w:ascii="Century Gothic" w:hAnsi="Century Gothic" w:cs="Arial"/>
          <w:b/>
          <w:sz w:val="28"/>
          <w:szCs w:val="28"/>
        </w:rPr>
      </w:pPr>
    </w:p>
    <w:p w14:paraId="41FBAB55">
      <w:pPr>
        <w:jc w:val="center"/>
        <w:rPr>
          <w:rFonts w:ascii="Century Gothic" w:hAnsi="Century Gothic" w:cs="Arial"/>
          <w:b/>
          <w:sz w:val="28"/>
          <w:szCs w:val="28"/>
        </w:rPr>
      </w:pPr>
      <w:r>
        <w:rPr>
          <w:rFonts w:ascii="Century Gothic" w:hAnsi="Century Gothic" w:cs="Arial"/>
          <w:b/>
          <w:sz w:val="28"/>
          <w:szCs w:val="28"/>
        </w:rPr>
        <w:t>Meeting Report</w:t>
      </w:r>
    </w:p>
    <w:p w14:paraId="6EE8B5DE">
      <w:pPr>
        <w:jc w:val="center"/>
        <w:rPr>
          <w:rFonts w:ascii="Century Gothic" w:hAnsi="Century Gothic" w:cs="Arial"/>
          <w:b/>
          <w:sz w:val="28"/>
          <w:szCs w:val="28"/>
        </w:rPr>
      </w:pPr>
    </w:p>
    <w:p w14:paraId="7095E541">
      <w:pPr>
        <w:jc w:val="center"/>
        <w:rPr>
          <w:rFonts w:ascii="Century Gothic" w:hAnsi="Century Gothic" w:cs="Arial"/>
          <w:b/>
          <w:sz w:val="28"/>
          <w:szCs w:val="28"/>
        </w:rPr>
      </w:pPr>
      <w:r>
        <w:rPr>
          <w:rFonts w:ascii="Century Gothic" w:hAnsi="Century Gothic" w:cs="Arial"/>
          <w:b/>
          <w:sz w:val="28"/>
          <w:szCs w:val="28"/>
        </w:rPr>
        <w:t>29</w:t>
      </w:r>
      <w:r>
        <w:rPr>
          <w:rFonts w:ascii="Century Gothic" w:hAnsi="Century Gothic" w:cs="Arial"/>
          <w:b/>
          <w:sz w:val="28"/>
          <w:szCs w:val="28"/>
          <w:vertAlign w:val="superscript"/>
        </w:rPr>
        <w:t>th</w:t>
      </w:r>
      <w:r>
        <w:rPr>
          <w:rFonts w:ascii="Century Gothic" w:hAnsi="Century Gothic" w:cs="Arial"/>
          <w:b/>
          <w:sz w:val="28"/>
          <w:szCs w:val="28"/>
        </w:rPr>
        <w:t xml:space="preserve"> October 2024</w:t>
      </w:r>
    </w:p>
    <w:p w14:paraId="4188E620">
      <w:pPr>
        <w:jc w:val="center"/>
        <w:rPr>
          <w:rFonts w:ascii="Century Gothic" w:hAnsi="Century Gothic" w:cs="Arial"/>
          <w:b/>
          <w:sz w:val="28"/>
          <w:szCs w:val="28"/>
        </w:rPr>
      </w:pPr>
    </w:p>
    <w:p w14:paraId="3BF128AD">
      <w:pPr>
        <w:jc w:val="center"/>
        <w:rPr>
          <w:rFonts w:ascii="Century Gothic" w:hAnsi="Century Gothic" w:cs="Arial"/>
          <w:b/>
          <w:sz w:val="28"/>
          <w:szCs w:val="28"/>
        </w:rPr>
      </w:pPr>
      <w:r>
        <w:rPr>
          <w:rFonts w:ascii="Century Gothic" w:hAnsi="Century Gothic" w:cs="Arial"/>
          <w:b/>
          <w:sz w:val="28"/>
          <w:szCs w:val="28"/>
        </w:rPr>
        <w:t>Nairobi, Kenya</w:t>
      </w:r>
    </w:p>
    <w:p w14:paraId="3C783227">
      <w:pPr>
        <w:jc w:val="center"/>
        <w:rPr>
          <w:rFonts w:ascii="Century Gothic" w:hAnsi="Century Gothic" w:cs="Arial"/>
          <w:b/>
        </w:rPr>
      </w:pPr>
      <w:r>
        <w:rPr>
          <w:rFonts w:ascii="Century Gothic" w:hAnsi="Century Gothic" w:cs="Arial"/>
          <w:b/>
        </w:rPr>
        <w:drawing>
          <wp:inline distT="0" distB="0" distL="0" distR="0">
            <wp:extent cx="5828665" cy="3926840"/>
            <wp:effectExtent l="0" t="0" r="635" b="0"/>
            <wp:docPr id="1012975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75797"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855158" cy="3944576"/>
                    </a:xfrm>
                    <a:prstGeom prst="rect">
                      <a:avLst/>
                    </a:prstGeom>
                    <a:noFill/>
                    <a:ln>
                      <a:noFill/>
                    </a:ln>
                  </pic:spPr>
                </pic:pic>
              </a:graphicData>
            </a:graphic>
          </wp:inline>
        </w:drawing>
      </w:r>
    </w:p>
    <w:p w14:paraId="2DB24087">
      <w:pPr>
        <w:jc w:val="center"/>
        <w:rPr>
          <w:rFonts w:ascii="Century Gothic" w:hAnsi="Century Gothic" w:cs="Arial"/>
          <w:b/>
        </w:rPr>
      </w:pPr>
    </w:p>
    <w:p w14:paraId="7C7D9AF6">
      <w:pPr>
        <w:pStyle w:val="2"/>
        <w:rPr>
          <w:rFonts w:ascii="Century Gothic" w:hAnsi="Century Gothic" w:cs="Arial"/>
          <w:b/>
          <w:color w:val="4472C4" w:themeColor="accent1"/>
          <w:sz w:val="24"/>
          <w:szCs w:val="24"/>
          <w14:textFill>
            <w14:solidFill>
              <w14:schemeClr w14:val="accent1"/>
            </w14:solidFill>
          </w14:textFill>
        </w:rPr>
      </w:pPr>
      <w:r>
        <w:rPr>
          <w:rFonts w:ascii="Century Gothic" w:hAnsi="Century Gothic" w:cs="Arial"/>
          <w:b/>
          <w:color w:val="4472C4" w:themeColor="accent1"/>
          <w:sz w:val="24"/>
          <w:szCs w:val="24"/>
          <w14:textFill>
            <w14:solidFill>
              <w14:schemeClr w14:val="accent1"/>
            </w14:solidFill>
          </w14:textFill>
        </w:rPr>
        <w:t>1.0 Background Information</w:t>
      </w:r>
    </w:p>
    <w:p w14:paraId="5950DF1F">
      <w:pPr>
        <w:pStyle w:val="25"/>
        <w:spacing w:line="276" w:lineRule="auto"/>
        <w:jc w:val="both"/>
        <w:rPr>
          <w:rFonts w:ascii="Century Gothic" w:hAnsi="Century Gothic"/>
          <w:lang w:val="en-GB"/>
        </w:rPr>
      </w:pPr>
      <w:r>
        <w:rPr>
          <w:rFonts w:ascii="Century Gothic" w:hAnsi="Century Gothic"/>
          <w:color w:val="auto"/>
          <w:lang w:val="en-US"/>
        </w:rPr>
        <w:t>The East, Central, and Southern African Health Community (ECSA-HC) Expert Committee on Eye Health was established in 2017 as part of a strategic initiative to elevate the eye health agenda across the ECSA-HC member states. This effort, supported by the College of Ophthalmologists of East, Central, and Southern Africa (COECSA) and the International Agency for the Prevention of Blindness (IAPB), aimed to promote accessible, effective, and sustainable eye health interventions in the ECSA region. The committee's mandate includes advocating for eye health, strengthening health systems, supporting human resource development, providing technical guidance on eye health to Ministries of Health, and generating evidence to inform policies and programs. The ECSA-HC Expert Committee on Eye Health was inaugurated as part of the pre-ECSA Directors Joint Consultative Committee (DJCC)/11th Best Practices Forum, positioning it as a central advisory body within the intergovernmental ECSA-HC framework on eye health.</w:t>
      </w:r>
      <w:r>
        <w:rPr>
          <w:rFonts w:ascii="Century Gothic" w:hAnsi="Century Gothic"/>
          <w:lang w:val="en-GB"/>
        </w:rPr>
        <w:t xml:space="preserve"> </w:t>
      </w:r>
    </w:p>
    <w:p w14:paraId="602C7E81">
      <w:pPr>
        <w:pStyle w:val="25"/>
        <w:spacing w:line="276" w:lineRule="auto"/>
        <w:jc w:val="both"/>
        <w:rPr>
          <w:rFonts w:ascii="Century Gothic" w:hAnsi="Century Gothic"/>
          <w:lang w:val="en-GB"/>
        </w:rPr>
      </w:pPr>
      <w:r>
        <w:rPr>
          <w:rFonts w:ascii="Century Gothic" w:hAnsi="Century Gothic"/>
          <w:lang w:val="en-GB"/>
        </w:rPr>
        <w:t>In line with the launch of a new Eastern, Central and Southern Africa regional strategy on Human resources for Eye Health, the committee, on the 29</w:t>
      </w:r>
      <w:r>
        <w:rPr>
          <w:rFonts w:ascii="Century Gothic" w:hAnsi="Century Gothic"/>
          <w:vertAlign w:val="superscript"/>
          <w:lang w:val="en-GB"/>
        </w:rPr>
        <w:t>th</w:t>
      </w:r>
      <w:r>
        <w:rPr>
          <w:rFonts w:ascii="Century Gothic" w:hAnsi="Century Gothic"/>
          <w:lang w:val="en-GB"/>
        </w:rPr>
        <w:t xml:space="preserve"> of October 2024 met in Nairobi at the Dusit Princess Hotel, Westlands to strategize on ways to embed the strategy within the ECSA HC member states.  </w:t>
      </w:r>
    </w:p>
    <w:p w14:paraId="0E8C7D4F">
      <w:pPr>
        <w:pStyle w:val="2"/>
        <w:spacing w:line="276" w:lineRule="auto"/>
        <w:jc w:val="both"/>
        <w:rPr>
          <w:rFonts w:ascii="Century Gothic" w:hAnsi="Century Gothic" w:cs="Arial"/>
          <w:b/>
          <w:color w:val="4472C4" w:themeColor="accent1"/>
          <w:sz w:val="24"/>
          <w:szCs w:val="24"/>
          <w14:textFill>
            <w14:solidFill>
              <w14:schemeClr w14:val="accent1"/>
            </w14:solidFill>
          </w14:textFill>
        </w:rPr>
      </w:pPr>
      <w:r>
        <w:rPr>
          <w:rFonts w:ascii="Century Gothic" w:hAnsi="Century Gothic" w:cs="Arial"/>
          <w:b/>
          <w:color w:val="4472C4" w:themeColor="accent1"/>
          <w:sz w:val="24"/>
          <w:szCs w:val="24"/>
          <w14:textFill>
            <w14:solidFill>
              <w14:schemeClr w14:val="accent1"/>
            </w14:solidFill>
          </w14:textFill>
        </w:rPr>
        <w:t>2.0 Objective of the Meeting</w:t>
      </w:r>
    </w:p>
    <w:p w14:paraId="3EAFF965">
      <w:pPr>
        <w:spacing w:line="276" w:lineRule="auto"/>
        <w:jc w:val="both"/>
        <w:rPr>
          <w:rFonts w:ascii="Century Gothic" w:hAnsi="Century Gothic" w:cs="Arial"/>
        </w:rPr>
      </w:pPr>
      <w:r>
        <w:rPr>
          <w:rFonts w:ascii="Century Gothic" w:hAnsi="Century Gothic" w:cs="Arial"/>
        </w:rPr>
        <w:t>The specific objectives of the meeting were: -</w:t>
      </w:r>
    </w:p>
    <w:p w14:paraId="04EA0923">
      <w:pPr>
        <w:pStyle w:val="20"/>
        <w:numPr>
          <w:ilvl w:val="0"/>
          <w:numId w:val="1"/>
        </w:numPr>
        <w:spacing w:line="276" w:lineRule="auto"/>
        <w:jc w:val="both"/>
        <w:rPr>
          <w:rFonts w:ascii="Century Gothic" w:hAnsi="Century Gothic" w:cs="Arial"/>
        </w:rPr>
      </w:pPr>
      <w:r>
        <w:rPr>
          <w:rFonts w:ascii="Century Gothic" w:hAnsi="Century Gothic" w:cs="Arial"/>
        </w:rPr>
        <w:t xml:space="preserve">Unpack The Central, Southern and Eastern Africa Human Resources for Eye Health Strategy (2025-2030) </w:t>
      </w:r>
      <w:r>
        <w:rPr>
          <w:rFonts w:ascii="Century Gothic" w:hAnsi="Century Gothic" w:cs="Arial"/>
        </w:rPr>
        <w:cr/>
      </w:r>
    </w:p>
    <w:p w14:paraId="5FA50C8D">
      <w:pPr>
        <w:pStyle w:val="20"/>
        <w:numPr>
          <w:ilvl w:val="0"/>
          <w:numId w:val="1"/>
        </w:numPr>
        <w:spacing w:line="276" w:lineRule="auto"/>
        <w:jc w:val="both"/>
        <w:rPr>
          <w:rFonts w:ascii="Century Gothic" w:hAnsi="Century Gothic" w:cs="Arial"/>
        </w:rPr>
      </w:pPr>
      <w:r>
        <w:rPr>
          <w:rFonts w:ascii="Century Gothic" w:hAnsi="Century Gothic" w:cs="Arial"/>
        </w:rPr>
        <w:t xml:space="preserve">Strategize the embedding of the Strategy within the ECSA HC member states </w:t>
      </w:r>
      <w:r>
        <w:rPr>
          <w:rFonts w:ascii="Century Gothic" w:hAnsi="Century Gothic" w:cs="Arial"/>
        </w:rPr>
        <w:cr/>
      </w:r>
    </w:p>
    <w:p w14:paraId="7316C50F">
      <w:pPr>
        <w:spacing w:line="276" w:lineRule="auto"/>
        <w:jc w:val="both"/>
        <w:rPr>
          <w:rFonts w:ascii="Century Gothic" w:hAnsi="Century Gothic" w:cs="Arial"/>
        </w:rPr>
      </w:pPr>
    </w:p>
    <w:p w14:paraId="4B92D2E6">
      <w:pPr>
        <w:pStyle w:val="2"/>
        <w:jc w:val="both"/>
        <w:rPr>
          <w:rFonts w:ascii="Century Gothic" w:hAnsi="Century Gothic" w:cs="Arial"/>
          <w:b/>
          <w:color w:val="4472C4" w:themeColor="accent1"/>
          <w:sz w:val="24"/>
          <w:szCs w:val="24"/>
          <w14:textFill>
            <w14:solidFill>
              <w14:schemeClr w14:val="accent1"/>
            </w14:solidFill>
          </w14:textFill>
        </w:rPr>
      </w:pPr>
      <w:r>
        <w:rPr>
          <w:rFonts w:ascii="Century Gothic" w:hAnsi="Century Gothic" w:cs="Arial"/>
          <w:b/>
          <w:color w:val="4472C4" w:themeColor="accent1"/>
          <w:sz w:val="24"/>
          <w:szCs w:val="24"/>
          <w14:textFill>
            <w14:solidFill>
              <w14:schemeClr w14:val="accent1"/>
            </w14:solidFill>
          </w14:textFill>
        </w:rPr>
        <w:t>3.0 Proceedings of the meeting</w:t>
      </w:r>
    </w:p>
    <w:p w14:paraId="5AB1A489">
      <w:pPr>
        <w:jc w:val="both"/>
        <w:rPr>
          <w:rFonts w:ascii="Century Gothic" w:hAnsi="Century Gothic" w:cs="Arial"/>
        </w:rPr>
      </w:pPr>
    </w:p>
    <w:p w14:paraId="6C01F395">
      <w:pPr>
        <w:jc w:val="both"/>
        <w:rPr>
          <w:rFonts w:ascii="Century Gothic" w:hAnsi="Century Gothic" w:cs="Arial"/>
        </w:rPr>
      </w:pPr>
      <w:r>
        <w:rPr>
          <w:rFonts w:ascii="Century Gothic" w:hAnsi="Century Gothic" w:cs="Arial"/>
        </w:rPr>
        <w:t>The meeting followed the set-out program, see annex 1. It included presentations and discussions.</w:t>
      </w:r>
    </w:p>
    <w:p w14:paraId="21EA96D6">
      <w:pPr>
        <w:jc w:val="both"/>
        <w:rPr>
          <w:rFonts w:ascii="Century Gothic" w:hAnsi="Century Gothic" w:cs="Arial"/>
        </w:rPr>
      </w:pPr>
    </w:p>
    <w:p w14:paraId="3FA96563">
      <w:pPr>
        <w:keepNext/>
        <w:jc w:val="both"/>
      </w:pPr>
    </w:p>
    <w:p w14:paraId="60A3520B">
      <w:pPr>
        <w:pStyle w:val="8"/>
        <w:jc w:val="both"/>
      </w:pPr>
      <w:r>
        <w:t xml:space="preserve">Figure </w:t>
      </w:r>
      <w:r>
        <w:fldChar w:fldCharType="begin"/>
      </w:r>
      <w:r>
        <w:instrText xml:space="preserve"> SEQ Figure \* ARABIC </w:instrText>
      </w:r>
      <w:r>
        <w:fldChar w:fldCharType="separate"/>
      </w:r>
      <w:r>
        <w:t>1</w:t>
      </w:r>
      <w:r>
        <w:fldChar w:fldCharType="end"/>
      </w:r>
      <w:r>
        <w:t>: Group Photo</w:t>
      </w:r>
    </w:p>
    <w:p w14:paraId="1BA6DEFD"/>
    <w:p w14:paraId="0B7D2A35"/>
    <w:p w14:paraId="38162828">
      <w:pPr>
        <w:jc w:val="both"/>
        <w:rPr>
          <w:rFonts w:ascii="Century Gothic" w:hAnsi="Century Gothic" w:cs="Arial"/>
          <w:b/>
          <w:i/>
          <w:color w:val="4472C4" w:themeColor="accent1"/>
          <w14:textFill>
            <w14:solidFill>
              <w14:schemeClr w14:val="accent1"/>
            </w14:solidFill>
          </w14:textFill>
        </w:rPr>
      </w:pPr>
      <w:r>
        <w:rPr>
          <w:rFonts w:ascii="Century Gothic" w:hAnsi="Century Gothic" w:cs="Arial"/>
          <w:b/>
          <w:i/>
          <w:color w:val="4472C4" w:themeColor="accent1"/>
          <w14:textFill>
            <w14:solidFill>
              <w14:schemeClr w14:val="accent1"/>
            </w14:solidFill>
          </w14:textFill>
        </w:rPr>
        <w:t>3.1 Participants</w:t>
      </w:r>
    </w:p>
    <w:p w14:paraId="0311EA37">
      <w:pPr>
        <w:jc w:val="both"/>
        <w:rPr>
          <w:rFonts w:ascii="Century Gothic" w:hAnsi="Century Gothic" w:cs="Arial"/>
        </w:rPr>
      </w:pPr>
    </w:p>
    <w:tbl>
      <w:tblPr>
        <w:tblStyle w:val="18"/>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3119"/>
        <w:gridCol w:w="4111"/>
      </w:tblGrid>
      <w:tr w14:paraId="6A95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830" w:type="dxa"/>
          </w:tcPr>
          <w:p w14:paraId="4E765355">
            <w:pPr>
              <w:jc w:val="both"/>
              <w:rPr>
                <w:rFonts w:ascii="Century Gothic" w:hAnsi="Century Gothic" w:cs="Arial"/>
                <w:b/>
                <w:bCs/>
              </w:rPr>
            </w:pPr>
            <w:r>
              <w:rPr>
                <w:rFonts w:ascii="Century Gothic" w:hAnsi="Century Gothic" w:cs="Arial"/>
                <w:b/>
                <w:bCs/>
              </w:rPr>
              <w:t>NAME</w:t>
            </w:r>
          </w:p>
        </w:tc>
        <w:tc>
          <w:tcPr>
            <w:tcW w:w="3119" w:type="dxa"/>
          </w:tcPr>
          <w:p w14:paraId="2C67C211">
            <w:pPr>
              <w:jc w:val="both"/>
              <w:rPr>
                <w:rFonts w:ascii="Century Gothic" w:hAnsi="Century Gothic" w:cs="Arial"/>
                <w:b/>
                <w:bCs/>
              </w:rPr>
            </w:pPr>
            <w:r>
              <w:rPr>
                <w:rFonts w:ascii="Century Gothic" w:hAnsi="Century Gothic" w:cs="Arial"/>
                <w:b/>
                <w:bCs/>
              </w:rPr>
              <w:t>ORGANIZATION</w:t>
            </w:r>
          </w:p>
        </w:tc>
        <w:tc>
          <w:tcPr>
            <w:tcW w:w="4111" w:type="dxa"/>
          </w:tcPr>
          <w:p w14:paraId="238CC604">
            <w:pPr>
              <w:jc w:val="both"/>
              <w:rPr>
                <w:rFonts w:ascii="Century Gothic" w:hAnsi="Century Gothic" w:cs="Arial"/>
                <w:b/>
                <w:bCs/>
              </w:rPr>
            </w:pPr>
            <w:r>
              <w:rPr>
                <w:rFonts w:ascii="Century Gothic" w:hAnsi="Century Gothic" w:cs="Arial"/>
                <w:b/>
                <w:bCs/>
              </w:rPr>
              <w:t>REPRESENTATION</w:t>
            </w:r>
          </w:p>
        </w:tc>
      </w:tr>
      <w:tr w14:paraId="5F687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7E5DDBF3">
            <w:pPr>
              <w:jc w:val="both"/>
              <w:rPr>
                <w:rFonts w:ascii="Century Gothic" w:hAnsi="Century Gothic" w:cs="Arial"/>
              </w:rPr>
            </w:pPr>
            <w:r>
              <w:rPr>
                <w:rFonts w:ascii="Century Gothic" w:hAnsi="Century Gothic" w:cs="Arial"/>
              </w:rPr>
              <w:t>Dr. Ibrahim Matende</w:t>
            </w:r>
          </w:p>
        </w:tc>
        <w:tc>
          <w:tcPr>
            <w:tcW w:w="3119" w:type="dxa"/>
          </w:tcPr>
          <w:p w14:paraId="71CC0551">
            <w:pPr>
              <w:jc w:val="both"/>
              <w:rPr>
                <w:rFonts w:ascii="Century Gothic" w:hAnsi="Century Gothic" w:cs="Arial"/>
              </w:rPr>
            </w:pPr>
            <w:r>
              <w:rPr>
                <w:rFonts w:ascii="Century Gothic" w:hAnsi="Century Gothic" w:cs="Arial"/>
              </w:rPr>
              <w:t>COECSA</w:t>
            </w:r>
          </w:p>
        </w:tc>
        <w:tc>
          <w:tcPr>
            <w:tcW w:w="4111" w:type="dxa"/>
          </w:tcPr>
          <w:p w14:paraId="3AF4E0FF">
            <w:pPr>
              <w:jc w:val="both"/>
              <w:rPr>
                <w:rFonts w:ascii="Century Gothic" w:hAnsi="Century Gothic" w:cs="Arial"/>
              </w:rPr>
            </w:pPr>
            <w:r>
              <w:rPr>
                <w:rFonts w:ascii="Century Gothic" w:hAnsi="Century Gothic" w:cs="Arial"/>
              </w:rPr>
              <w:t>Chairman</w:t>
            </w:r>
          </w:p>
        </w:tc>
      </w:tr>
      <w:tr w14:paraId="6A2F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45D4FCCD">
            <w:pPr>
              <w:jc w:val="both"/>
              <w:rPr>
                <w:rFonts w:ascii="Century Gothic" w:hAnsi="Century Gothic" w:cs="Arial"/>
              </w:rPr>
            </w:pPr>
            <w:r>
              <w:rPr>
                <w:rFonts w:ascii="Century Gothic" w:hAnsi="Century Gothic" w:cs="Arial"/>
              </w:rPr>
              <w:t>Dr. Miriam Urasa</w:t>
            </w:r>
          </w:p>
        </w:tc>
        <w:tc>
          <w:tcPr>
            <w:tcW w:w="3119" w:type="dxa"/>
          </w:tcPr>
          <w:p w14:paraId="16F31F83">
            <w:pPr>
              <w:jc w:val="both"/>
              <w:rPr>
                <w:rFonts w:ascii="Century Gothic" w:hAnsi="Century Gothic" w:cs="Arial"/>
              </w:rPr>
            </w:pPr>
            <w:r>
              <w:rPr>
                <w:rFonts w:ascii="Century Gothic" w:hAnsi="Century Gothic" w:cs="Arial"/>
              </w:rPr>
              <w:t>ECSA HC</w:t>
            </w:r>
          </w:p>
        </w:tc>
        <w:tc>
          <w:tcPr>
            <w:tcW w:w="4111" w:type="dxa"/>
          </w:tcPr>
          <w:p w14:paraId="080CB2AB">
            <w:pPr>
              <w:jc w:val="both"/>
              <w:rPr>
                <w:rFonts w:ascii="Century Gothic" w:hAnsi="Century Gothic" w:cs="Arial"/>
              </w:rPr>
            </w:pPr>
            <w:r>
              <w:rPr>
                <w:rFonts w:ascii="Century Gothic" w:hAnsi="Century Gothic" w:cs="Arial"/>
              </w:rPr>
              <w:t>ECSA HC</w:t>
            </w:r>
          </w:p>
        </w:tc>
      </w:tr>
      <w:tr w14:paraId="230E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29505669">
            <w:pPr>
              <w:jc w:val="both"/>
              <w:rPr>
                <w:rFonts w:ascii="Century Gothic" w:hAnsi="Century Gothic" w:cs="Arial"/>
              </w:rPr>
            </w:pPr>
            <w:r>
              <w:rPr>
                <w:rFonts w:ascii="Century Gothic" w:hAnsi="Century Gothic" w:cs="Arial"/>
              </w:rPr>
              <w:t>Dr. Michael Gichangi</w:t>
            </w:r>
          </w:p>
        </w:tc>
        <w:tc>
          <w:tcPr>
            <w:tcW w:w="3119" w:type="dxa"/>
          </w:tcPr>
          <w:p w14:paraId="0A0FB3EB">
            <w:pPr>
              <w:jc w:val="both"/>
              <w:rPr>
                <w:rFonts w:ascii="Century Gothic" w:hAnsi="Century Gothic" w:cs="Arial"/>
              </w:rPr>
            </w:pPr>
            <w:r>
              <w:rPr>
                <w:rFonts w:ascii="Century Gothic" w:hAnsi="Century Gothic" w:cs="Arial"/>
              </w:rPr>
              <w:t>Ministry of Health</w:t>
            </w:r>
          </w:p>
        </w:tc>
        <w:tc>
          <w:tcPr>
            <w:tcW w:w="4111" w:type="dxa"/>
          </w:tcPr>
          <w:p w14:paraId="1775F393">
            <w:pPr>
              <w:jc w:val="both"/>
              <w:rPr>
                <w:rFonts w:ascii="Century Gothic" w:hAnsi="Century Gothic" w:cs="Arial"/>
              </w:rPr>
            </w:pPr>
            <w:r>
              <w:rPr>
                <w:rFonts w:ascii="Century Gothic" w:hAnsi="Century Gothic" w:cs="Arial"/>
              </w:rPr>
              <w:t>National Eye Care Coordinator</w:t>
            </w:r>
          </w:p>
        </w:tc>
      </w:tr>
      <w:tr w14:paraId="2ED9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6B3728BC">
            <w:pPr>
              <w:jc w:val="both"/>
              <w:rPr>
                <w:rFonts w:ascii="Century Gothic" w:hAnsi="Century Gothic" w:cs="Arial"/>
              </w:rPr>
            </w:pPr>
            <w:r>
              <w:rPr>
                <w:rFonts w:ascii="Century Gothic" w:hAnsi="Century Gothic" w:cs="Arial"/>
              </w:rPr>
              <w:t>Dr. Bernadetha Shilio</w:t>
            </w:r>
          </w:p>
        </w:tc>
        <w:tc>
          <w:tcPr>
            <w:tcW w:w="3119" w:type="dxa"/>
          </w:tcPr>
          <w:p w14:paraId="3E22B181">
            <w:pPr>
              <w:jc w:val="both"/>
              <w:rPr>
                <w:rFonts w:ascii="Century Gothic" w:hAnsi="Century Gothic" w:cs="Arial"/>
              </w:rPr>
            </w:pPr>
            <w:r>
              <w:rPr>
                <w:rFonts w:ascii="Century Gothic" w:hAnsi="Century Gothic" w:cs="Arial"/>
              </w:rPr>
              <w:t>Ministry of Health</w:t>
            </w:r>
          </w:p>
        </w:tc>
        <w:tc>
          <w:tcPr>
            <w:tcW w:w="4111" w:type="dxa"/>
          </w:tcPr>
          <w:p w14:paraId="5400696B">
            <w:pPr>
              <w:jc w:val="both"/>
              <w:rPr>
                <w:rFonts w:ascii="Century Gothic" w:hAnsi="Century Gothic" w:cs="Arial"/>
              </w:rPr>
            </w:pPr>
            <w:r>
              <w:rPr>
                <w:rFonts w:ascii="Century Gothic" w:hAnsi="Century Gothic" w:cs="Arial"/>
              </w:rPr>
              <w:t>National Eye Care Coordinator</w:t>
            </w:r>
          </w:p>
        </w:tc>
      </w:tr>
      <w:tr w14:paraId="4386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59B8A3E1">
            <w:pPr>
              <w:jc w:val="both"/>
              <w:rPr>
                <w:rFonts w:ascii="Century Gothic" w:hAnsi="Century Gothic" w:cs="Arial"/>
              </w:rPr>
            </w:pPr>
            <w:r>
              <w:rPr>
                <w:rFonts w:ascii="Century Gothic" w:hAnsi="Century Gothic" w:cs="Arial"/>
              </w:rPr>
              <w:t>Dr. Jefitha Karimurio</w:t>
            </w:r>
          </w:p>
        </w:tc>
        <w:tc>
          <w:tcPr>
            <w:tcW w:w="3119" w:type="dxa"/>
          </w:tcPr>
          <w:p w14:paraId="1B73D4A5">
            <w:pPr>
              <w:jc w:val="both"/>
              <w:rPr>
                <w:rFonts w:ascii="Century Gothic" w:hAnsi="Century Gothic" w:cs="Arial"/>
              </w:rPr>
            </w:pPr>
            <w:r>
              <w:rPr>
                <w:rFonts w:ascii="Century Gothic" w:hAnsi="Century Gothic" w:cs="Arial"/>
              </w:rPr>
              <w:t>The University of Nairobi</w:t>
            </w:r>
          </w:p>
        </w:tc>
        <w:tc>
          <w:tcPr>
            <w:tcW w:w="4111" w:type="dxa"/>
          </w:tcPr>
          <w:p w14:paraId="45B1729E">
            <w:pPr>
              <w:jc w:val="both"/>
              <w:rPr>
                <w:rFonts w:ascii="Century Gothic" w:hAnsi="Century Gothic" w:cs="Arial"/>
              </w:rPr>
            </w:pPr>
            <w:r>
              <w:rPr>
                <w:rFonts w:ascii="Century Gothic" w:hAnsi="Century Gothic" w:cs="Arial"/>
              </w:rPr>
              <w:t>Training Institution</w:t>
            </w:r>
          </w:p>
        </w:tc>
      </w:tr>
      <w:tr w14:paraId="7A0A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291E3723">
            <w:pPr>
              <w:jc w:val="both"/>
              <w:rPr>
                <w:rFonts w:ascii="Century Gothic" w:hAnsi="Century Gothic" w:cs="Arial"/>
              </w:rPr>
            </w:pPr>
            <w:r>
              <w:rPr>
                <w:rFonts w:ascii="Century Gothic" w:hAnsi="Century Gothic" w:cs="Arial"/>
              </w:rPr>
              <w:t>Dr. Tesfaye Adera</w:t>
            </w:r>
          </w:p>
        </w:tc>
        <w:tc>
          <w:tcPr>
            <w:tcW w:w="3119" w:type="dxa"/>
          </w:tcPr>
          <w:p w14:paraId="07360DF0">
            <w:pPr>
              <w:jc w:val="both"/>
              <w:rPr>
                <w:rFonts w:ascii="Century Gothic" w:hAnsi="Century Gothic" w:cs="Arial"/>
              </w:rPr>
            </w:pPr>
            <w:r>
              <w:rPr>
                <w:rFonts w:ascii="Century Gothic" w:hAnsi="Century Gothic" w:cs="Arial"/>
              </w:rPr>
              <w:t>Sightsavers</w:t>
            </w:r>
          </w:p>
        </w:tc>
        <w:tc>
          <w:tcPr>
            <w:tcW w:w="4111" w:type="dxa"/>
          </w:tcPr>
          <w:p w14:paraId="3FC169F5">
            <w:pPr>
              <w:jc w:val="both"/>
              <w:rPr>
                <w:rFonts w:ascii="Century Gothic" w:hAnsi="Century Gothic" w:cs="Arial"/>
              </w:rPr>
            </w:pPr>
            <w:r>
              <w:rPr>
                <w:rFonts w:ascii="Century Gothic" w:hAnsi="Century Gothic" w:cs="Arial"/>
              </w:rPr>
              <w:t>IAPB Member/NGO</w:t>
            </w:r>
          </w:p>
        </w:tc>
      </w:tr>
      <w:tr w14:paraId="7FF6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08310E2B">
            <w:pPr>
              <w:jc w:val="both"/>
              <w:rPr>
                <w:rFonts w:ascii="Century Gothic" w:hAnsi="Century Gothic" w:cs="Arial"/>
              </w:rPr>
            </w:pPr>
            <w:r>
              <w:rPr>
                <w:rFonts w:ascii="Century Gothic" w:hAnsi="Century Gothic" w:cs="Arial"/>
              </w:rPr>
              <w:t>Annette Kobusingye</w:t>
            </w:r>
          </w:p>
        </w:tc>
        <w:tc>
          <w:tcPr>
            <w:tcW w:w="3119" w:type="dxa"/>
          </w:tcPr>
          <w:p w14:paraId="5CF94F07">
            <w:pPr>
              <w:jc w:val="both"/>
              <w:rPr>
                <w:rFonts w:ascii="Century Gothic" w:hAnsi="Century Gothic" w:cs="Arial"/>
              </w:rPr>
            </w:pPr>
            <w:r>
              <w:rPr>
                <w:rFonts w:ascii="Century Gothic" w:hAnsi="Century Gothic" w:cs="Arial"/>
              </w:rPr>
              <w:t>Fred Hollows Foundation</w:t>
            </w:r>
          </w:p>
        </w:tc>
        <w:tc>
          <w:tcPr>
            <w:tcW w:w="4111" w:type="dxa"/>
          </w:tcPr>
          <w:p w14:paraId="63599D5A">
            <w:pPr>
              <w:jc w:val="both"/>
              <w:rPr>
                <w:rFonts w:ascii="Century Gothic" w:hAnsi="Century Gothic" w:cs="Arial"/>
              </w:rPr>
            </w:pPr>
            <w:r>
              <w:rPr>
                <w:rFonts w:ascii="Century Gothic" w:hAnsi="Century Gothic" w:cs="Arial"/>
              </w:rPr>
              <w:t>IAPB Member/NGO</w:t>
            </w:r>
          </w:p>
        </w:tc>
      </w:tr>
      <w:tr w14:paraId="0B276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2FF96CE0">
            <w:pPr>
              <w:jc w:val="both"/>
              <w:rPr>
                <w:rFonts w:ascii="Century Gothic" w:hAnsi="Century Gothic" w:cs="Arial"/>
              </w:rPr>
            </w:pPr>
            <w:r>
              <w:rPr>
                <w:rFonts w:ascii="Century Gothic" w:hAnsi="Century Gothic" w:cs="Arial"/>
              </w:rPr>
              <w:t>James Kumbura</w:t>
            </w:r>
          </w:p>
        </w:tc>
        <w:tc>
          <w:tcPr>
            <w:tcW w:w="3119" w:type="dxa"/>
          </w:tcPr>
          <w:p w14:paraId="0ED29B14">
            <w:pPr>
              <w:jc w:val="both"/>
              <w:rPr>
                <w:rFonts w:ascii="Century Gothic" w:hAnsi="Century Gothic" w:cs="Arial"/>
              </w:rPr>
            </w:pPr>
            <w:r>
              <w:rPr>
                <w:rFonts w:ascii="Century Gothic" w:hAnsi="Century Gothic" w:cs="Arial"/>
              </w:rPr>
              <w:t>Novartis</w:t>
            </w:r>
          </w:p>
        </w:tc>
        <w:tc>
          <w:tcPr>
            <w:tcW w:w="4111" w:type="dxa"/>
          </w:tcPr>
          <w:p w14:paraId="40940F9A">
            <w:pPr>
              <w:jc w:val="both"/>
              <w:rPr>
                <w:rFonts w:ascii="Century Gothic" w:hAnsi="Century Gothic" w:cs="Arial"/>
              </w:rPr>
            </w:pPr>
            <w:r>
              <w:rPr>
                <w:rFonts w:ascii="Century Gothic" w:hAnsi="Century Gothic" w:cs="Arial"/>
              </w:rPr>
              <w:t>Private Sector</w:t>
            </w:r>
          </w:p>
        </w:tc>
      </w:tr>
      <w:tr w14:paraId="1C98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16B38AAD">
            <w:pPr>
              <w:jc w:val="both"/>
              <w:rPr>
                <w:rFonts w:ascii="Century Gothic" w:hAnsi="Century Gothic" w:cs="Arial"/>
              </w:rPr>
            </w:pPr>
            <w:r>
              <w:rPr>
                <w:rFonts w:ascii="Century Gothic" w:hAnsi="Century Gothic" w:cs="Arial"/>
              </w:rPr>
              <w:t>Josiah Anyango</w:t>
            </w:r>
          </w:p>
        </w:tc>
        <w:tc>
          <w:tcPr>
            <w:tcW w:w="3119" w:type="dxa"/>
          </w:tcPr>
          <w:p w14:paraId="00DBC88C">
            <w:pPr>
              <w:jc w:val="both"/>
              <w:rPr>
                <w:rFonts w:ascii="Century Gothic" w:hAnsi="Century Gothic" w:cs="Arial"/>
              </w:rPr>
            </w:pPr>
            <w:r>
              <w:rPr>
                <w:rFonts w:ascii="Century Gothic" w:hAnsi="Century Gothic" w:cs="Arial"/>
              </w:rPr>
              <w:t>COECSA</w:t>
            </w:r>
          </w:p>
        </w:tc>
        <w:tc>
          <w:tcPr>
            <w:tcW w:w="4111" w:type="dxa"/>
          </w:tcPr>
          <w:p w14:paraId="0AA95118">
            <w:pPr>
              <w:jc w:val="both"/>
              <w:rPr>
                <w:rFonts w:ascii="Century Gothic" w:hAnsi="Century Gothic" w:cs="Arial"/>
              </w:rPr>
            </w:pPr>
            <w:r>
              <w:rPr>
                <w:rFonts w:ascii="Century Gothic" w:hAnsi="Century Gothic" w:cs="Arial"/>
              </w:rPr>
              <w:t>Secretariat</w:t>
            </w:r>
          </w:p>
        </w:tc>
      </w:tr>
      <w:tr w14:paraId="19CB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0777A4F8">
            <w:pPr>
              <w:jc w:val="both"/>
              <w:rPr>
                <w:rFonts w:ascii="Century Gothic" w:hAnsi="Century Gothic" w:cs="Arial"/>
              </w:rPr>
            </w:pPr>
            <w:r>
              <w:rPr>
                <w:rFonts w:ascii="Century Gothic" w:hAnsi="Century Gothic" w:cs="Arial"/>
              </w:rPr>
              <w:t>Simon Day</w:t>
            </w:r>
          </w:p>
        </w:tc>
        <w:tc>
          <w:tcPr>
            <w:tcW w:w="3119" w:type="dxa"/>
          </w:tcPr>
          <w:p w14:paraId="140060A4">
            <w:pPr>
              <w:jc w:val="both"/>
              <w:rPr>
                <w:rFonts w:ascii="Century Gothic" w:hAnsi="Century Gothic" w:cs="Arial"/>
              </w:rPr>
            </w:pPr>
            <w:r>
              <w:rPr>
                <w:rFonts w:ascii="Century Gothic" w:hAnsi="Century Gothic" w:cs="Arial"/>
              </w:rPr>
              <w:t>IAPB</w:t>
            </w:r>
          </w:p>
        </w:tc>
        <w:tc>
          <w:tcPr>
            <w:tcW w:w="4111" w:type="dxa"/>
          </w:tcPr>
          <w:p w14:paraId="6D881CF0">
            <w:pPr>
              <w:jc w:val="both"/>
              <w:rPr>
                <w:rFonts w:ascii="Century Gothic" w:hAnsi="Century Gothic" w:cs="Arial"/>
              </w:rPr>
            </w:pPr>
            <w:r>
              <w:rPr>
                <w:rFonts w:ascii="Century Gothic" w:hAnsi="Century Gothic" w:cs="Arial"/>
              </w:rPr>
              <w:t>Secretariat</w:t>
            </w:r>
          </w:p>
        </w:tc>
      </w:tr>
      <w:tr w14:paraId="4F61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0100D70C">
            <w:pPr>
              <w:jc w:val="both"/>
              <w:rPr>
                <w:rFonts w:ascii="Century Gothic" w:hAnsi="Century Gothic" w:cs="Arial"/>
              </w:rPr>
            </w:pPr>
            <w:r>
              <w:rPr>
                <w:rFonts w:ascii="Century Gothic" w:hAnsi="Century Gothic" w:cs="Arial"/>
              </w:rPr>
              <w:t>Kristine Nyabera</w:t>
            </w:r>
          </w:p>
        </w:tc>
        <w:tc>
          <w:tcPr>
            <w:tcW w:w="3119" w:type="dxa"/>
          </w:tcPr>
          <w:p w14:paraId="184687CE">
            <w:pPr>
              <w:jc w:val="both"/>
              <w:rPr>
                <w:rFonts w:ascii="Century Gothic" w:hAnsi="Century Gothic" w:cs="Arial"/>
              </w:rPr>
            </w:pPr>
            <w:r>
              <w:rPr>
                <w:rFonts w:ascii="Century Gothic" w:hAnsi="Century Gothic" w:cs="Arial"/>
              </w:rPr>
              <w:t>IAPB</w:t>
            </w:r>
          </w:p>
        </w:tc>
        <w:tc>
          <w:tcPr>
            <w:tcW w:w="4111" w:type="dxa"/>
          </w:tcPr>
          <w:p w14:paraId="64D4B643">
            <w:pPr>
              <w:jc w:val="both"/>
              <w:rPr>
                <w:rFonts w:ascii="Century Gothic" w:hAnsi="Century Gothic" w:cs="Arial"/>
              </w:rPr>
            </w:pPr>
            <w:r>
              <w:rPr>
                <w:rFonts w:ascii="Century Gothic" w:hAnsi="Century Gothic" w:cs="Arial"/>
              </w:rPr>
              <w:t>Secretariat</w:t>
            </w:r>
          </w:p>
        </w:tc>
      </w:tr>
    </w:tbl>
    <w:p w14:paraId="48804817">
      <w:pPr>
        <w:jc w:val="both"/>
        <w:rPr>
          <w:rFonts w:ascii="Century Gothic" w:hAnsi="Century Gothic" w:cs="Arial"/>
        </w:rPr>
      </w:pPr>
    </w:p>
    <w:p w14:paraId="78A37D2F">
      <w:pPr>
        <w:jc w:val="both"/>
        <w:rPr>
          <w:rFonts w:ascii="Century Gothic" w:hAnsi="Century Gothic" w:cs="Arial"/>
        </w:rPr>
      </w:pPr>
    </w:p>
    <w:p w14:paraId="33065F26">
      <w:pPr>
        <w:jc w:val="both"/>
        <w:rPr>
          <w:rFonts w:ascii="Century Gothic" w:hAnsi="Century Gothic" w:cs="Arial"/>
          <w:b/>
          <w:i/>
          <w:color w:val="4472C4" w:themeColor="accent1"/>
          <w14:textFill>
            <w14:solidFill>
              <w14:schemeClr w14:val="accent1"/>
            </w14:solidFill>
          </w14:textFill>
        </w:rPr>
      </w:pPr>
      <w:r>
        <w:rPr>
          <w:rFonts w:ascii="Century Gothic" w:hAnsi="Century Gothic" w:cs="Arial"/>
          <w:b/>
          <w:i/>
          <w:color w:val="4472C4" w:themeColor="accent1"/>
          <w14:textFill>
            <w14:solidFill>
              <w14:schemeClr w14:val="accent1"/>
            </w14:solidFill>
          </w14:textFill>
        </w:rPr>
        <w:t>3.2 Welcome Remarks</w:t>
      </w:r>
    </w:p>
    <w:p w14:paraId="2A60FA88">
      <w:pPr>
        <w:jc w:val="both"/>
        <w:rPr>
          <w:rFonts w:ascii="Century Gothic" w:hAnsi="Century Gothic" w:cs="Arial"/>
        </w:rPr>
      </w:pPr>
      <w:r>
        <w:rPr>
          <w:rFonts w:ascii="Century Gothic" w:hAnsi="Century Gothic" w:cs="Arial"/>
        </w:rPr>
        <w:t>Dr. Ibrahim Matende, Chairman of the ECSA-HC Eye Health Expert Committee, welcomed participants to the meeting and highlighted the committee's critical role within the ECSA-HC framework. He emphasized the unique opportunity to bring Human Resources for Eye Health (HREH) to the forefront of the ECSA-HC agenda through the Best Practices Forum (BPF) and stressed the importance of this group in setting key priorities for health ministers as experts in the field.</w:t>
      </w:r>
    </w:p>
    <w:p w14:paraId="6577FEDB">
      <w:pPr>
        <w:jc w:val="both"/>
        <w:rPr>
          <w:rFonts w:ascii="Century Gothic" w:hAnsi="Century Gothic" w:cs="Arial"/>
        </w:rPr>
      </w:pPr>
    </w:p>
    <w:p w14:paraId="47791464">
      <w:pPr>
        <w:jc w:val="both"/>
        <w:rPr>
          <w:rFonts w:ascii="Century Gothic" w:hAnsi="Century Gothic" w:cs="Arial"/>
        </w:rPr>
      </w:pPr>
      <w:r>
        <w:rPr>
          <w:rFonts w:ascii="Century Gothic" w:hAnsi="Century Gothic" w:cs="Arial"/>
        </w:rPr>
        <w:t>Dr. Matende encouraged the committee to establish clear objectives and reach consensus on their goals. This clarity, he noted, would enable them to track progress effectively and recognize when adjustments are needed. He described the strategy as a valuable resource for the entire region, urging the group to consider both traditional methods that have brought the sector this far and explore innovative approaches to drive further progress.</w:t>
      </w:r>
    </w:p>
    <w:p w14:paraId="0B100B56">
      <w:pPr>
        <w:jc w:val="both"/>
        <w:rPr>
          <w:rFonts w:ascii="Century Gothic" w:hAnsi="Century Gothic" w:cs="Arial"/>
        </w:rPr>
      </w:pPr>
    </w:p>
    <w:p w14:paraId="54297E53">
      <w:pPr>
        <w:jc w:val="both"/>
        <w:rPr>
          <w:rFonts w:ascii="Century Gothic" w:hAnsi="Century Gothic" w:cs="Arial"/>
        </w:rPr>
      </w:pPr>
      <w:r>
        <w:rPr>
          <w:rFonts w:ascii="Century Gothic" w:hAnsi="Century Gothic" w:cs="Arial"/>
        </w:rPr>
        <w:t>Finally, Dr. Matende underscored the importance of presenting the strategy at the Best Practices Forum, with the goal of securing commitment for implementation across the region.</w:t>
      </w:r>
    </w:p>
    <w:p w14:paraId="2A5A4E4C">
      <w:pPr>
        <w:jc w:val="both"/>
        <w:rPr>
          <w:rFonts w:ascii="Century Gothic" w:hAnsi="Century Gothic" w:cs="Arial"/>
        </w:rPr>
      </w:pPr>
    </w:p>
    <w:p w14:paraId="56E009B2">
      <w:pPr>
        <w:jc w:val="both"/>
        <w:rPr>
          <w:rFonts w:ascii="Century Gothic" w:hAnsi="Century Gothic" w:cs="Arial"/>
        </w:rPr>
      </w:pPr>
      <w:r>
        <w:rPr>
          <w:rFonts w:ascii="Century Gothic" w:hAnsi="Century Gothic" w:cs="Arial"/>
          <w:b/>
          <w:i/>
          <w:color w:val="4472C4" w:themeColor="accent1"/>
          <w14:textFill>
            <w14:solidFill>
              <w14:schemeClr w14:val="accent1"/>
            </w14:solidFill>
          </w14:textFill>
        </w:rPr>
        <w:t>3.3 Presentation and plenary discussion</w:t>
      </w:r>
    </w:p>
    <w:p w14:paraId="3888707E">
      <w:pPr>
        <w:jc w:val="both"/>
        <w:rPr>
          <w:rFonts w:ascii="Century Gothic" w:hAnsi="Century Gothic" w:cs="Arial"/>
        </w:rPr>
      </w:pPr>
      <w:r>
        <w:rPr>
          <w:rFonts w:ascii="Century Gothic" w:hAnsi="Century Gothic" w:cs="Arial"/>
        </w:rPr>
        <w:t>Dr. Miriam Urasa from ECSA HC, on behalf of the project manager Dr. Tina Chisenga, made a presentation on the overview of the ECSA HC as an intergovernmental organization that promotes regional cooperation in health among its member states. In her presentation, she highlighted the key platforms and key initiatives within the ECSA HC including the Health Ministers Conference and the Best Practices Forum and the role they play in defining regional health priorities.</w:t>
      </w:r>
    </w:p>
    <w:p w14:paraId="7F5C72FD">
      <w:pPr>
        <w:jc w:val="both"/>
        <w:rPr>
          <w:rFonts w:ascii="Century Gothic" w:hAnsi="Century Gothic" w:cs="Arial"/>
        </w:rPr>
      </w:pPr>
      <w:r>
        <w:rPr>
          <w:rFonts w:ascii="Century Gothic" w:hAnsi="Century Gothic" w:cs="Arial"/>
        </w:rPr>
        <w:t>Dr. Urasa elaborated on the process of a resolution adaptation in ECSA HC and highlighted the recent resolution passed on Eye Health which was adopted during the 69</w:t>
      </w:r>
      <w:r>
        <w:rPr>
          <w:rFonts w:ascii="Century Gothic" w:hAnsi="Century Gothic" w:cs="Arial"/>
          <w:vertAlign w:val="superscript"/>
        </w:rPr>
        <w:t>th</w:t>
      </w:r>
      <w:r>
        <w:rPr>
          <w:rFonts w:ascii="Century Gothic" w:hAnsi="Century Gothic" w:cs="Arial"/>
        </w:rPr>
        <w:t xml:space="preserve"> Health Ministers Conference. </w:t>
      </w:r>
    </w:p>
    <w:p w14:paraId="48C6AABA">
      <w:pPr>
        <w:jc w:val="both"/>
        <w:rPr>
          <w:rFonts w:ascii="Century Gothic" w:hAnsi="Century Gothic" w:cs="Arial"/>
        </w:rPr>
      </w:pPr>
      <w:r>
        <w:rPr>
          <w:rFonts w:ascii="Century Gothic" w:hAnsi="Century Gothic" w:cs="Arial"/>
        </w:rPr>
        <w:drawing>
          <wp:inline distT="0" distB="0" distL="0" distR="0">
            <wp:extent cx="5453380" cy="4302125"/>
            <wp:effectExtent l="0" t="0" r="0" b="3175"/>
            <wp:docPr id="833593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93709" name="Picture 1"/>
                    <pic:cNvPicPr>
                      <a:picLocks noChangeAspect="1"/>
                    </pic:cNvPicPr>
                  </pic:nvPicPr>
                  <pic:blipFill>
                    <a:blip r:embed="rId9"/>
                    <a:stretch>
                      <a:fillRect/>
                    </a:stretch>
                  </pic:blipFill>
                  <pic:spPr>
                    <a:xfrm>
                      <a:off x="0" y="0"/>
                      <a:ext cx="5546480" cy="4375615"/>
                    </a:xfrm>
                    <a:prstGeom prst="rect">
                      <a:avLst/>
                    </a:prstGeom>
                  </pic:spPr>
                </pic:pic>
              </a:graphicData>
            </a:graphic>
          </wp:inline>
        </w:drawing>
      </w:r>
    </w:p>
    <w:p w14:paraId="6891CEC9">
      <w:pPr>
        <w:jc w:val="both"/>
        <w:rPr>
          <w:rFonts w:ascii="Century Gothic" w:hAnsi="Century Gothic" w:cs="Arial"/>
        </w:rPr>
      </w:pPr>
    </w:p>
    <w:p w14:paraId="4F6C3A17">
      <w:pPr>
        <w:jc w:val="both"/>
        <w:rPr>
          <w:rFonts w:ascii="Century Gothic" w:hAnsi="Century Gothic" w:cs="Arial"/>
        </w:rPr>
      </w:pPr>
      <w:r>
        <w:rPr>
          <w:rFonts w:ascii="Century Gothic" w:hAnsi="Century Gothic" w:cs="Arial"/>
        </w:rPr>
        <w:t xml:space="preserve">Dr. Urasa reaffirmed ECSA HC’s commitment to advancing eye health in the region through coordinated efforts, innovation and partnership with COECSA and IAPB. </w:t>
      </w:r>
    </w:p>
    <w:p w14:paraId="6C7A3828">
      <w:pPr>
        <w:jc w:val="both"/>
        <w:rPr>
          <w:rFonts w:ascii="Century Gothic" w:hAnsi="Century Gothic" w:cs="Arial"/>
        </w:rPr>
      </w:pPr>
    </w:p>
    <w:p w14:paraId="2B6FCCA3">
      <w:pPr>
        <w:jc w:val="both"/>
        <w:rPr>
          <w:rFonts w:ascii="Century Gothic" w:hAnsi="Century Gothic" w:cs="Arial"/>
        </w:rPr>
      </w:pPr>
      <w:r>
        <w:rPr>
          <w:rFonts w:ascii="Century Gothic" w:hAnsi="Century Gothic" w:cs="Arial"/>
        </w:rPr>
        <w:t xml:space="preserve">The Committee deliberated on two key issues; The structure of ECSA HC especially the advisory committee and how the expert committee can plug into it and the communication and feedback gaps from ECSA HC to the committee in particular with regards to themes, sub-themes and dates for the subsequent best practice forums and health ministers conference. </w:t>
      </w:r>
    </w:p>
    <w:p w14:paraId="2CF6E27D">
      <w:pPr>
        <w:jc w:val="both"/>
        <w:rPr>
          <w:rFonts w:ascii="Century Gothic" w:hAnsi="Century Gothic" w:cs="Arial"/>
        </w:rPr>
      </w:pPr>
    </w:p>
    <w:p w14:paraId="1D7408F6">
      <w:pPr>
        <w:jc w:val="both"/>
        <w:rPr>
          <w:rFonts w:ascii="Century Gothic" w:hAnsi="Century Gothic" w:cs="Arial"/>
        </w:rPr>
      </w:pPr>
    </w:p>
    <w:p w14:paraId="19D2E52B">
      <w:pPr>
        <w:jc w:val="both"/>
        <w:rPr>
          <w:rFonts w:ascii="Century Gothic" w:hAnsi="Century Gothic" w:cs="Arial"/>
        </w:rPr>
      </w:pPr>
    </w:p>
    <w:p w14:paraId="416B98E4">
      <w:pPr>
        <w:jc w:val="both"/>
        <w:rPr>
          <w:rFonts w:ascii="Century Gothic" w:hAnsi="Century Gothic" w:cs="Arial"/>
        </w:rPr>
      </w:pPr>
    </w:p>
    <w:p w14:paraId="2C45A99F">
      <w:pPr>
        <w:jc w:val="both"/>
        <w:rPr>
          <w:rFonts w:ascii="Century Gothic" w:hAnsi="Century Gothic" w:cs="Arial"/>
        </w:rPr>
      </w:pPr>
    </w:p>
    <w:p w14:paraId="1DB6E0DE">
      <w:pPr>
        <w:jc w:val="both"/>
        <w:rPr>
          <w:rFonts w:ascii="Century Gothic" w:hAnsi="Century Gothic" w:cs="Arial"/>
          <w:b/>
          <w:i/>
          <w:color w:val="4472C4" w:themeColor="accent1"/>
          <w14:textFill>
            <w14:solidFill>
              <w14:schemeClr w14:val="accent1"/>
            </w14:solidFill>
          </w14:textFill>
        </w:rPr>
      </w:pPr>
      <w:r>
        <w:rPr>
          <w:rFonts w:ascii="Century Gothic" w:hAnsi="Century Gothic" w:cs="Arial"/>
          <w:b/>
          <w:i/>
          <w:color w:val="4472C4" w:themeColor="accent1"/>
          <w14:textFill>
            <w14:solidFill>
              <w14:schemeClr w14:val="accent1"/>
            </w14:solidFill>
          </w14:textFill>
        </w:rPr>
        <w:t>3.3.1 Feedback from 14</w:t>
      </w:r>
      <w:r>
        <w:rPr>
          <w:rFonts w:ascii="Century Gothic" w:hAnsi="Century Gothic" w:cs="Arial"/>
          <w:b/>
          <w:i/>
          <w:color w:val="4472C4" w:themeColor="accent1"/>
          <w:vertAlign w:val="superscript"/>
          <w14:textFill>
            <w14:solidFill>
              <w14:schemeClr w14:val="accent1"/>
            </w14:solidFill>
          </w14:textFill>
        </w:rPr>
        <w:t>th</w:t>
      </w:r>
      <w:r>
        <w:rPr>
          <w:rFonts w:ascii="Century Gothic" w:hAnsi="Century Gothic" w:cs="Arial"/>
          <w:b/>
          <w:i/>
          <w:color w:val="4472C4" w:themeColor="accent1"/>
          <w14:textFill>
            <w14:solidFill>
              <w14:schemeClr w14:val="accent1"/>
            </w14:solidFill>
          </w14:textFill>
        </w:rPr>
        <w:t xml:space="preserve"> BPF and 30</w:t>
      </w:r>
      <w:r>
        <w:rPr>
          <w:rFonts w:ascii="Century Gothic" w:hAnsi="Century Gothic" w:cs="Arial"/>
          <w:b/>
          <w:i/>
          <w:color w:val="4472C4" w:themeColor="accent1"/>
          <w:vertAlign w:val="superscript"/>
          <w14:textFill>
            <w14:solidFill>
              <w14:schemeClr w14:val="accent1"/>
            </w14:solidFill>
          </w14:textFill>
        </w:rPr>
        <w:t>th</w:t>
      </w:r>
      <w:r>
        <w:rPr>
          <w:rFonts w:ascii="Century Gothic" w:hAnsi="Century Gothic" w:cs="Arial"/>
          <w:b/>
          <w:i/>
          <w:color w:val="4472C4" w:themeColor="accent1"/>
          <w14:textFill>
            <w14:solidFill>
              <w14:schemeClr w14:val="accent1"/>
            </w14:solidFill>
          </w14:textFill>
        </w:rPr>
        <w:t xml:space="preserve"> DJCC meeting.</w:t>
      </w:r>
    </w:p>
    <w:p w14:paraId="2C2EE293">
      <w:pPr>
        <w:jc w:val="both"/>
        <w:rPr>
          <w:rFonts w:ascii="Century Gothic" w:hAnsi="Century Gothic" w:cs="Arial"/>
        </w:rPr>
      </w:pPr>
    </w:p>
    <w:p w14:paraId="125C2263">
      <w:pPr>
        <w:rPr>
          <w:rFonts w:ascii="Century Gothic" w:hAnsi="Century Gothic" w:cs="Arial"/>
        </w:rPr>
      </w:pPr>
      <w:bookmarkStart w:id="0" w:name="_Hlk181614800"/>
      <w:r>
        <w:rPr>
          <w:rFonts w:ascii="Century Gothic" w:hAnsi="Century Gothic" w:cs="Arial"/>
        </w:rPr>
        <w:t>At the 74th Best Practices Forum (BPF) held in Arusha, Tanzania, the Eye Health Expert Committee was represented by Josiah Anyango and Tesfaye Adera who provided their experiences to the committee. During the forum, two abstracts on eye health, centred around the sub-themes of Technology in Health and Non-Communicable Diseases (NCDs), were submitted and presented. The eye health topics were well-received and they informed the recently passed resolutions.</w:t>
      </w:r>
    </w:p>
    <w:p w14:paraId="72425C76">
      <w:pPr>
        <w:rPr>
          <w:rFonts w:ascii="Century Gothic" w:hAnsi="Century Gothic" w:cs="Arial"/>
        </w:rPr>
      </w:pPr>
    </w:p>
    <w:p w14:paraId="176B6C73">
      <w:pPr>
        <w:rPr>
          <w:rFonts w:ascii="Century Gothic" w:hAnsi="Century Gothic" w:cs="Arial"/>
        </w:rPr>
      </w:pPr>
      <w:r>
        <w:rPr>
          <w:rFonts w:ascii="Century Gothic" w:hAnsi="Century Gothic" w:cs="Arial"/>
        </w:rPr>
        <w:t xml:space="preserve">However, some challenges were noted, particularly in communication. Both the ECSA-HC team and members of the Eye Health Expert Committee faced communication gaps, and limited notification time led to rushed planning for the event. </w:t>
      </w:r>
    </w:p>
    <w:p w14:paraId="739FFA37">
      <w:pPr>
        <w:rPr>
          <w:rFonts w:ascii="Century Gothic" w:hAnsi="Century Gothic" w:cs="Arial"/>
        </w:rPr>
      </w:pPr>
      <w:r>
        <w:rPr>
          <w:rFonts w:ascii="Century Gothic" w:hAnsi="Century Gothic" w:cs="Arial"/>
        </w:rPr>
        <w:t xml:space="preserve">It was brought to the attention of the committee that the ECSA-HC team is currently working on finalizing the themes for the upcoming 75th Health Ministers Conference, set to take place from February 10-12, 2025, in Lilongwe, Malawi, with details to be announced in due course. </w:t>
      </w:r>
      <w:r>
        <w:fldChar w:fldCharType="begin"/>
      </w:r>
      <w:r>
        <w:instrText xml:space="preserve">HYPERLINK "https://ecsahc.org/hmc/"</w:instrText>
      </w:r>
      <w:r>
        <w:fldChar w:fldCharType="separate"/>
      </w:r>
      <w:r>
        <w:rPr>
          <w:rStyle w:val="14"/>
          <w:rFonts w:ascii="Century Gothic" w:hAnsi="Century Gothic" w:cs="Arial"/>
        </w:rPr>
        <w:t>https://ecsahc.org/hmc/</w:t>
      </w:r>
      <w:r>
        <w:rPr>
          <w:rStyle w:val="14"/>
          <w:rFonts w:ascii="Century Gothic" w:hAnsi="Century Gothic" w:cs="Arial"/>
        </w:rPr>
        <w:fldChar w:fldCharType="end"/>
      </w:r>
      <w:r>
        <w:rPr>
          <w:rFonts w:ascii="Century Gothic" w:hAnsi="Century Gothic" w:cs="Arial"/>
        </w:rPr>
        <w:t xml:space="preserve"> </w:t>
      </w:r>
    </w:p>
    <w:p w14:paraId="753E849E">
      <w:pPr>
        <w:rPr>
          <w:rFonts w:ascii="Century Gothic" w:hAnsi="Century Gothic" w:cs="Arial"/>
        </w:rPr>
      </w:pPr>
    </w:p>
    <w:p w14:paraId="40D7A06F">
      <w:pPr>
        <w:jc w:val="both"/>
        <w:rPr>
          <w:rFonts w:ascii="Century Gothic" w:hAnsi="Century Gothic" w:cs="Arial"/>
          <w:b/>
          <w:i/>
          <w:color w:val="4472C4" w:themeColor="accent1"/>
          <w14:textFill>
            <w14:solidFill>
              <w14:schemeClr w14:val="accent1"/>
            </w14:solidFill>
          </w14:textFill>
        </w:rPr>
      </w:pPr>
      <w:bookmarkStart w:id="1" w:name="_Hlk181616593"/>
      <w:r>
        <w:rPr>
          <w:rFonts w:ascii="Century Gothic" w:hAnsi="Century Gothic" w:cs="Arial"/>
          <w:b/>
          <w:i/>
          <w:color w:val="4472C4" w:themeColor="accent1"/>
          <w14:textFill>
            <w14:solidFill>
              <w14:schemeClr w14:val="accent1"/>
            </w14:solidFill>
          </w14:textFill>
        </w:rPr>
        <w:t>3.3.2 Central, Southern and Eastern Africa Human Resources for Eye Health.</w:t>
      </w:r>
    </w:p>
    <w:bookmarkEnd w:id="1"/>
    <w:p w14:paraId="374A4C91">
      <w:pPr>
        <w:rPr>
          <w:rFonts w:ascii="Century Gothic" w:hAnsi="Century Gothic" w:cs="Arial"/>
        </w:rPr>
      </w:pPr>
    </w:p>
    <w:bookmarkEnd w:id="0"/>
    <w:p w14:paraId="38F0FA6D">
      <w:pPr>
        <w:rPr>
          <w:rFonts w:ascii="Century Gothic" w:hAnsi="Century Gothic" w:cs="Arial"/>
        </w:rPr>
      </w:pPr>
      <w:r>
        <w:rPr>
          <w:rFonts w:ascii="Century Gothic" w:hAnsi="Century Gothic" w:cs="Arial"/>
        </w:rPr>
        <w:t>Simon Day, Head of the Africa Region at IAPB, presented an overview of the Human Resource for Eye Health (HReH) strategy for 2014-2018, which laid the foundation for the current strategy. He highlighted key achievements from that period, including the integration of eye health into human resources for health plans across ten countries, the publication of the WHO Eye Care Competency Framework, and a comprehensive mapping of eye health training programs and institutions in the region. The strategy also led to increased engagement between Ministries of Health, training institutions, and eye care providers. However, challenges were noted, particularly related to national level funding commitments.</w:t>
      </w:r>
    </w:p>
    <w:p w14:paraId="6E526D87">
      <w:pPr>
        <w:rPr>
          <w:rFonts w:ascii="Century Gothic" w:hAnsi="Century Gothic" w:cs="Arial"/>
        </w:rPr>
      </w:pPr>
    </w:p>
    <w:p w14:paraId="61163F80">
      <w:pPr>
        <w:rPr>
          <w:rFonts w:ascii="Century Gothic" w:hAnsi="Century Gothic" w:cs="Arial"/>
        </w:rPr>
      </w:pPr>
      <w:r>
        <w:rPr>
          <w:rFonts w:ascii="Century Gothic" w:hAnsi="Century Gothic" w:cs="Arial"/>
        </w:rPr>
        <w:t>The presentation was preceded by a presentation by Josiah, the CEO COECSA who introduced the new Central, Southern, and Eastern Africa Human Resources for Eye Health Strategy (2025-2030). He detailed the collaborative development process involving various eye health stakeholders, highlighting that the strategy was informed by the current burden of vision loss and imbalance in the distribution of eye health workers. Josiah explained that this new strategy builds upon the previous HReH strategy (2014-2018), which led to the establishment of National Prevention of Blindness Committees across the region.</w:t>
      </w:r>
    </w:p>
    <w:p w14:paraId="2D8EEBCA">
      <w:pPr>
        <w:rPr>
          <w:rFonts w:ascii="Century Gothic" w:hAnsi="Century Gothic" w:cs="Arial"/>
        </w:rPr>
      </w:pPr>
      <w:r>
        <w:rPr>
          <w:rFonts w:ascii="Century Gothic" w:hAnsi="Century Gothic" w:cs="Arial"/>
        </w:rPr>
        <w:t>He shared the vision, goals, and objectives of the 2025-2030 strategy, emphasizing the importance of regional coordination mechanisms. He noted that an M&amp;E framework is already in place, with the development of a detailed implementation strategy scheduled for completion by February 2025.</w:t>
      </w:r>
    </w:p>
    <w:p w14:paraId="48B8DBEC">
      <w:pPr>
        <w:rPr>
          <w:rFonts w:ascii="Century Gothic" w:hAnsi="Century Gothic" w:cs="Arial"/>
        </w:rPr>
      </w:pPr>
    </w:p>
    <w:p w14:paraId="594AC8CE">
      <w:pPr>
        <w:jc w:val="both"/>
        <w:rPr>
          <w:rFonts w:ascii="Century Gothic" w:hAnsi="Century Gothic" w:cs="Arial"/>
          <w:b/>
          <w:i/>
          <w:color w:val="4472C4" w:themeColor="accent1"/>
          <w14:textFill>
            <w14:solidFill>
              <w14:schemeClr w14:val="accent1"/>
            </w14:solidFill>
          </w14:textFill>
        </w:rPr>
      </w:pPr>
      <w:r>
        <w:rPr>
          <w:rFonts w:ascii="Century Gothic" w:hAnsi="Century Gothic" w:cs="Arial"/>
          <w:b/>
          <w:i/>
          <w:color w:val="4472C4" w:themeColor="accent1"/>
          <w14:textFill>
            <w14:solidFill>
              <w14:schemeClr w14:val="accent1"/>
            </w14:solidFill>
          </w14:textFill>
        </w:rPr>
        <w:t>4.0 ECSA HC Opportunities to promote the HReH strategy.</w:t>
      </w:r>
    </w:p>
    <w:p w14:paraId="3FE068AE">
      <w:pPr>
        <w:rPr>
          <w:rFonts w:ascii="Century Gothic" w:hAnsi="Century Gothic" w:cs="Arial"/>
        </w:rPr>
      </w:pPr>
    </w:p>
    <w:p w14:paraId="2D03F241">
      <w:pPr>
        <w:rPr>
          <w:rFonts w:ascii="Century Gothic" w:hAnsi="Century Gothic" w:cs="Arial"/>
        </w:rPr>
      </w:pPr>
      <w:r>
        <w:rPr>
          <w:rFonts w:ascii="Century Gothic" w:hAnsi="Century Gothic" w:cs="Arial"/>
        </w:rPr>
        <w:t>Dr. Urasa presented the available opportunities within ECSA-HC to strengthen the eye health workforce across Central, Southern, and Eastern Africa, highlighting ECSA-HC’s strategic role in advancing the Human Resources for Eye Health (HREH) Strategy.</w:t>
      </w:r>
    </w:p>
    <w:p w14:paraId="2BC13023">
      <w:pPr>
        <w:jc w:val="both"/>
        <w:rPr>
          <w:rFonts w:ascii="Century Gothic" w:hAnsi="Century Gothic" w:cs="Arial"/>
        </w:rPr>
      </w:pPr>
    </w:p>
    <w:p w14:paraId="6602E8E7">
      <w:pPr>
        <w:jc w:val="both"/>
        <w:rPr>
          <w:rFonts w:ascii="Century Gothic" w:hAnsi="Century Gothic" w:cs="Arial"/>
        </w:rPr>
      </w:pPr>
      <w:r>
        <w:rPr>
          <w:rFonts w:ascii="Century Gothic" w:hAnsi="Century Gothic" w:cs="Arial"/>
        </w:rPr>
        <w:t xml:space="preserve">She highlighted the role of ECSA HC in promoting the HReH strategy as: </w:t>
      </w:r>
    </w:p>
    <w:p w14:paraId="545DD63D">
      <w:pPr>
        <w:jc w:val="both"/>
        <w:rPr>
          <w:rFonts w:ascii="Century Gothic" w:hAnsi="Century Gothic" w:cs="Arial"/>
        </w:rPr>
      </w:pPr>
      <w:r>
        <w:rPr>
          <w:rFonts w:ascii="Century Gothic" w:hAnsi="Century Gothic" w:cs="Arial"/>
        </w:rPr>
        <w:t xml:space="preserve">In </w:t>
      </w:r>
      <w:r>
        <w:rPr>
          <w:rFonts w:ascii="Century Gothic" w:hAnsi="Century Gothic" w:cs="Arial"/>
          <w:b/>
          <w:bCs/>
        </w:rPr>
        <w:t>policy advocacy</w:t>
      </w:r>
      <w:r>
        <w:rPr>
          <w:rFonts w:ascii="Century Gothic" w:hAnsi="Century Gothic" w:cs="Arial"/>
        </w:rPr>
        <w:t xml:space="preserve">, ECSA HC can work with member states to integrate the HReH strategy into national human resources for health plans (HRH) ensuring eye health becomes a priority. </w:t>
      </w:r>
    </w:p>
    <w:p w14:paraId="6D7C22E5">
      <w:pPr>
        <w:jc w:val="both"/>
        <w:rPr>
          <w:rFonts w:ascii="Century Gothic" w:hAnsi="Century Gothic" w:cs="Arial"/>
        </w:rPr>
      </w:pPr>
      <w:r>
        <w:rPr>
          <w:rFonts w:ascii="Century Gothic" w:hAnsi="Century Gothic" w:cs="Arial"/>
          <w:b/>
          <w:bCs/>
        </w:rPr>
        <w:t>Regional coordination</w:t>
      </w:r>
      <w:r>
        <w:rPr>
          <w:rFonts w:ascii="Century Gothic" w:hAnsi="Century Gothic" w:cs="Arial"/>
        </w:rPr>
        <w:t>: ECSA HC can facilitate cross border collaboration, standardizing training programs, and enhancing the mobility of eye health workers within the region.</w:t>
      </w:r>
    </w:p>
    <w:p w14:paraId="77ECDE7A">
      <w:pPr>
        <w:jc w:val="both"/>
        <w:rPr>
          <w:rFonts w:ascii="Century Gothic" w:hAnsi="Century Gothic" w:cs="Arial"/>
        </w:rPr>
      </w:pPr>
      <w:r>
        <w:rPr>
          <w:rFonts w:ascii="Century Gothic" w:hAnsi="Century Gothic" w:cs="Arial"/>
          <w:b/>
          <w:bCs/>
        </w:rPr>
        <w:t xml:space="preserve">Knowledge sharing: </w:t>
      </w:r>
      <w:r>
        <w:rPr>
          <w:rFonts w:ascii="Century Gothic" w:hAnsi="Century Gothic" w:cs="Arial"/>
        </w:rPr>
        <w:t xml:space="preserve">Through Communities of Practice (CoP), ECSA HC can create platforms for regional learning and exchange of best practices. </w:t>
      </w:r>
    </w:p>
    <w:p w14:paraId="6584858A">
      <w:pPr>
        <w:jc w:val="both"/>
        <w:rPr>
          <w:rFonts w:ascii="Century Gothic" w:hAnsi="Century Gothic" w:cs="Arial"/>
        </w:rPr>
      </w:pPr>
    </w:p>
    <w:p w14:paraId="5235C1B6">
      <w:pPr>
        <w:jc w:val="both"/>
        <w:rPr>
          <w:rFonts w:ascii="Century Gothic" w:hAnsi="Century Gothic" w:cs="Arial"/>
        </w:rPr>
      </w:pPr>
      <w:r>
        <w:rPr>
          <w:rFonts w:ascii="Century Gothic" w:hAnsi="Century Gothic" w:cs="Arial"/>
        </w:rPr>
        <w:t>Three key opportunities for engagement within the East, Central, and Southern Africa Health Community (ECSA-HC) were outlined that could advance Human Resources for Eye Health (HREH) initiatives as:</w:t>
      </w:r>
    </w:p>
    <w:p w14:paraId="73553516">
      <w:pPr>
        <w:numPr>
          <w:ilvl w:val="0"/>
          <w:numId w:val="2"/>
        </w:numPr>
        <w:jc w:val="both"/>
        <w:rPr>
          <w:rFonts w:ascii="Century Gothic" w:hAnsi="Century Gothic" w:cs="Arial"/>
        </w:rPr>
      </w:pPr>
      <w:r>
        <w:rPr>
          <w:rFonts w:ascii="Century Gothic" w:hAnsi="Century Gothic" w:cs="Arial"/>
          <w:b/>
          <w:bCs/>
        </w:rPr>
        <w:t>Leverage Regional Networks</w:t>
      </w:r>
      <w:r>
        <w:rPr>
          <w:rFonts w:ascii="Century Gothic" w:hAnsi="Century Gothic" w:cs="Arial"/>
        </w:rPr>
        <w:t>: ECSA-HC’s regional networks can be used to amplify the HReH strategy, promoting capacity building initiatives and resource mobilization efforts.</w:t>
      </w:r>
    </w:p>
    <w:p w14:paraId="26E28242">
      <w:pPr>
        <w:numPr>
          <w:ilvl w:val="0"/>
          <w:numId w:val="2"/>
        </w:numPr>
        <w:jc w:val="both"/>
        <w:rPr>
          <w:rFonts w:ascii="Century Gothic" w:hAnsi="Century Gothic" w:cs="Arial"/>
        </w:rPr>
      </w:pPr>
      <w:r>
        <w:rPr>
          <w:rFonts w:ascii="Century Gothic" w:hAnsi="Century Gothic" w:cs="Arial"/>
          <w:b/>
          <w:bCs/>
        </w:rPr>
        <w:t>Promote Standardization of Training</w:t>
      </w:r>
      <w:r>
        <w:rPr>
          <w:rFonts w:ascii="Century Gothic" w:hAnsi="Century Gothic" w:cs="Arial"/>
        </w:rPr>
        <w:t xml:space="preserve">: This involves facilitating the adoption of harmonized eye care training curricula across member states to improve the quality and recognition of eye health professionals. </w:t>
      </w:r>
    </w:p>
    <w:p w14:paraId="397BF98A">
      <w:pPr>
        <w:numPr>
          <w:ilvl w:val="0"/>
          <w:numId w:val="2"/>
        </w:numPr>
        <w:jc w:val="both"/>
        <w:rPr>
          <w:rFonts w:ascii="Century Gothic" w:hAnsi="Century Gothic" w:cs="Arial"/>
          <w:b/>
          <w:bCs/>
        </w:rPr>
      </w:pPr>
      <w:r>
        <w:rPr>
          <w:rFonts w:ascii="Century Gothic" w:hAnsi="Century Gothic" w:cs="Arial"/>
          <w:b/>
          <w:bCs/>
        </w:rPr>
        <w:t>Advocate for Digital Health Innovations</w:t>
      </w:r>
      <w:r>
        <w:rPr>
          <w:rFonts w:ascii="Century Gothic" w:hAnsi="Century Gothic" w:cs="Arial"/>
        </w:rPr>
        <w:t>: ECSA-HC can promote the use of digital technologies, such as telemedicine and AI in eye health, expanding access to rural and underserved areas.</w:t>
      </w:r>
    </w:p>
    <w:p w14:paraId="743B3F44">
      <w:pPr>
        <w:jc w:val="both"/>
        <w:rPr>
          <w:rFonts w:ascii="Century Gothic" w:hAnsi="Century Gothic" w:cs="Arial"/>
        </w:rPr>
      </w:pPr>
    </w:p>
    <w:p w14:paraId="2DFBB594">
      <w:pPr>
        <w:jc w:val="both"/>
        <w:rPr>
          <w:rFonts w:ascii="Century Gothic" w:hAnsi="Century Gothic" w:cs="Arial"/>
        </w:rPr>
      </w:pPr>
      <w:r>
        <w:rPr>
          <w:rFonts w:ascii="Century Gothic" w:hAnsi="Century Gothic" w:cs="Arial"/>
        </w:rPr>
        <w:t xml:space="preserve">Dr. Urasa discussed ECSA-HC's role in advocacy, forging strategic partnerships for resource mobilization, and supporting regional monitoring and evaluation (M&amp;E) frameworks to track progress. She proposed that ECSA-HC could coordinate annual regional reviews to assess milestones, identify challenges, and adapt the strategy as needed to ensure alignment with workforce needs. </w:t>
      </w:r>
    </w:p>
    <w:p w14:paraId="67C8CAC5">
      <w:pPr>
        <w:jc w:val="both"/>
        <w:rPr>
          <w:rFonts w:ascii="Century Gothic" w:hAnsi="Century Gothic" w:cs="Arial"/>
        </w:rPr>
      </w:pPr>
      <w:r>
        <w:rPr>
          <w:rFonts w:ascii="Century Gothic" w:hAnsi="Century Gothic" w:cs="Arial"/>
        </w:rPr>
        <w:t xml:space="preserve">The presentation accentuated the importance of ECSA-HC's active involvement in promoting and implementing the HREH strategy as part of a concerted effort to improve eye health access and outcomes across the region. </w:t>
      </w:r>
    </w:p>
    <w:p w14:paraId="36184549">
      <w:pPr>
        <w:jc w:val="both"/>
        <w:rPr>
          <w:rFonts w:ascii="Century Gothic" w:hAnsi="Century Gothic" w:cs="Arial"/>
        </w:rPr>
      </w:pPr>
    </w:p>
    <w:p w14:paraId="24A82E4B">
      <w:pPr>
        <w:jc w:val="both"/>
        <w:rPr>
          <w:rFonts w:ascii="Century Gothic" w:hAnsi="Century Gothic" w:cs="Arial"/>
        </w:rPr>
      </w:pPr>
    </w:p>
    <w:p w14:paraId="5FE5C0E7">
      <w:pPr>
        <w:rPr>
          <w:rFonts w:ascii="Century Gothic" w:hAnsi="Century Gothic" w:cs="Arial"/>
          <w:b/>
        </w:rPr>
      </w:pPr>
      <w:r>
        <w:rPr>
          <w:rFonts w:ascii="Century Gothic" w:hAnsi="Century Gothic" w:cs="Arial"/>
          <w:b/>
        </w:rPr>
        <w:t>4.1 Workshopping on the opportunities to promote the HReH Strategy</w:t>
      </w:r>
    </w:p>
    <w:p w14:paraId="1BB727AE">
      <w:pPr>
        <w:rPr>
          <w:rFonts w:ascii="Century Gothic" w:hAnsi="Century Gothic" w:cs="Arial"/>
        </w:rPr>
      </w:pPr>
    </w:p>
    <w:p w14:paraId="31D08A57">
      <w:pPr>
        <w:rPr>
          <w:rFonts w:ascii="Century Gothic" w:hAnsi="Century Gothic" w:cs="Arial"/>
        </w:rPr>
      </w:pPr>
      <w:bookmarkStart w:id="2" w:name="_Hlk181639781"/>
      <w:r>
        <w:rPr>
          <w:rFonts w:ascii="Century Gothic" w:hAnsi="Century Gothic" w:cs="Arial"/>
        </w:rPr>
        <w:t>The committee discussed the opportunities around the three key areas: Regional coordination, policy advocacy and knowledge sharing and came up with the following:</w:t>
      </w:r>
    </w:p>
    <w:p w14:paraId="296FC235">
      <w:pPr>
        <w:rPr>
          <w:rFonts w:ascii="Century Gothic" w:hAnsi="Century Gothic" w:cs="Arial"/>
        </w:rPr>
      </w:pPr>
    </w:p>
    <w:p w14:paraId="2899A994">
      <w:pPr>
        <w:rPr>
          <w:rFonts w:ascii="Century Gothic" w:hAnsi="Century Gothic" w:cs="Arial"/>
          <w:b/>
          <w:bCs/>
        </w:rPr>
      </w:pPr>
      <w:r>
        <w:rPr>
          <w:rFonts w:ascii="Century Gothic" w:hAnsi="Century Gothic" w:cs="Arial"/>
          <w:b/>
          <w:bCs/>
        </w:rPr>
        <w:t>Policy Advocacy</w:t>
      </w:r>
    </w:p>
    <w:p w14:paraId="2A0B5F58">
      <w:pPr>
        <w:numPr>
          <w:ilvl w:val="0"/>
          <w:numId w:val="3"/>
        </w:numPr>
        <w:rPr>
          <w:rFonts w:ascii="Century Gothic" w:hAnsi="Century Gothic" w:cs="Arial"/>
        </w:rPr>
      </w:pPr>
      <w:r>
        <w:rPr>
          <w:rFonts w:ascii="Century Gothic" w:hAnsi="Century Gothic" w:cs="Arial"/>
          <w:i/>
          <w:iCs/>
        </w:rPr>
        <w:t>Integration with National Strategies</w:t>
      </w:r>
      <w:r>
        <w:rPr>
          <w:rFonts w:ascii="Century Gothic" w:hAnsi="Century Gothic" w:cs="Arial"/>
        </w:rPr>
        <w:t>: Advocate for the integration of the Human Resources for Eye Health (HReH) strategy into national human resources for health strategies (HRH).</w:t>
      </w:r>
    </w:p>
    <w:p w14:paraId="11557EE0">
      <w:pPr>
        <w:numPr>
          <w:ilvl w:val="0"/>
          <w:numId w:val="3"/>
        </w:numPr>
        <w:rPr>
          <w:rFonts w:ascii="Century Gothic" w:hAnsi="Century Gothic" w:cs="Arial"/>
        </w:rPr>
      </w:pPr>
      <w:r>
        <w:rPr>
          <w:rFonts w:ascii="Century Gothic" w:hAnsi="Century Gothic" w:cs="Arial"/>
          <w:i/>
          <w:iCs/>
        </w:rPr>
        <w:t>Data Collection</w:t>
      </w:r>
      <w:r>
        <w:rPr>
          <w:rFonts w:ascii="Century Gothic" w:hAnsi="Century Gothic" w:cs="Arial"/>
        </w:rPr>
        <w:t>: Gather data to support the need for additional workshops and resources.</w:t>
      </w:r>
    </w:p>
    <w:p w14:paraId="17F10AEE">
      <w:pPr>
        <w:numPr>
          <w:ilvl w:val="0"/>
          <w:numId w:val="3"/>
        </w:numPr>
        <w:rPr>
          <w:rFonts w:ascii="Century Gothic" w:hAnsi="Century Gothic" w:cs="Arial"/>
        </w:rPr>
      </w:pPr>
      <w:r>
        <w:rPr>
          <w:rFonts w:ascii="Century Gothic" w:hAnsi="Century Gothic" w:cs="Arial"/>
          <w:i/>
          <w:iCs/>
        </w:rPr>
        <w:t>Resource Mobilization:</w:t>
      </w:r>
      <w:r>
        <w:rPr>
          <w:rFonts w:ascii="Century Gothic" w:hAnsi="Century Gothic" w:cs="Arial"/>
        </w:rPr>
        <w:t xml:space="preserve"> Secure funding for training centres to improve capacity for eye health education and services.</w:t>
      </w:r>
    </w:p>
    <w:p w14:paraId="6C942A10">
      <w:pPr>
        <w:rPr>
          <w:rFonts w:ascii="Century Gothic" w:hAnsi="Century Gothic" w:cs="Arial"/>
        </w:rPr>
      </w:pPr>
    </w:p>
    <w:p w14:paraId="4D750106">
      <w:pPr>
        <w:rPr>
          <w:rFonts w:ascii="Century Gothic" w:hAnsi="Century Gothic" w:cs="Arial"/>
        </w:rPr>
      </w:pPr>
    </w:p>
    <w:p w14:paraId="53886E37">
      <w:pPr>
        <w:rPr>
          <w:rFonts w:ascii="Century Gothic" w:hAnsi="Century Gothic" w:cs="Arial"/>
          <w:b/>
          <w:bCs/>
        </w:rPr>
      </w:pPr>
      <w:r>
        <w:rPr>
          <w:rFonts w:ascii="Century Gothic" w:hAnsi="Century Gothic" w:cs="Arial"/>
          <w:b/>
          <w:bCs/>
        </w:rPr>
        <w:t>Regional Coordination</w:t>
      </w:r>
    </w:p>
    <w:p w14:paraId="279776FD">
      <w:pPr>
        <w:numPr>
          <w:ilvl w:val="0"/>
          <w:numId w:val="4"/>
        </w:numPr>
        <w:spacing w:before="100" w:beforeAutospacing="1" w:after="100" w:afterAutospacing="1"/>
        <w:rPr>
          <w:rFonts w:ascii="Century Gothic" w:hAnsi="Century Gothic"/>
        </w:rPr>
      </w:pPr>
      <w:r>
        <w:rPr>
          <w:rStyle w:val="17"/>
          <w:rFonts w:ascii="Century Gothic" w:hAnsi="Century Gothic"/>
          <w:b w:val="0"/>
          <w:bCs w:val="0"/>
          <w:i/>
          <w:iCs/>
        </w:rPr>
        <w:t>Cross-border Collaboration</w:t>
      </w:r>
      <w:r>
        <w:rPr>
          <w:rFonts w:ascii="Century Gothic" w:hAnsi="Century Gothic"/>
        </w:rPr>
        <w:t>: Identify and establish collaborations with partners and policymakers through ECSA HC.</w:t>
      </w:r>
    </w:p>
    <w:p w14:paraId="13D0A978">
      <w:pPr>
        <w:pStyle w:val="20"/>
        <w:numPr>
          <w:ilvl w:val="0"/>
          <w:numId w:val="5"/>
        </w:numPr>
        <w:spacing w:before="100" w:beforeAutospacing="1" w:after="100" w:afterAutospacing="1"/>
        <w:rPr>
          <w:rFonts w:ascii="Century Gothic" w:hAnsi="Century Gothic"/>
        </w:rPr>
      </w:pPr>
      <w:r>
        <w:rPr>
          <w:rFonts w:ascii="Century Gothic" w:hAnsi="Century Gothic"/>
        </w:rPr>
        <w:t>MOH through the National Eye Care Coordinators, regulatory authorities e.g AMCOA and office of Permanent Secretaries.</w:t>
      </w:r>
    </w:p>
    <w:p w14:paraId="7F5E7665">
      <w:pPr>
        <w:pStyle w:val="20"/>
        <w:numPr>
          <w:ilvl w:val="0"/>
          <w:numId w:val="5"/>
        </w:numPr>
        <w:spacing w:before="100" w:beforeAutospacing="1" w:after="100" w:afterAutospacing="1"/>
        <w:rPr>
          <w:rFonts w:ascii="Century Gothic" w:hAnsi="Century Gothic"/>
        </w:rPr>
      </w:pPr>
      <w:r>
        <w:rPr>
          <w:rFonts w:ascii="Century Gothic" w:hAnsi="Century Gothic"/>
        </w:rPr>
        <w:t>Collaborative eye health partners.</w:t>
      </w:r>
    </w:p>
    <w:p w14:paraId="15B1FDCE">
      <w:pPr>
        <w:pStyle w:val="20"/>
        <w:numPr>
          <w:ilvl w:val="0"/>
          <w:numId w:val="5"/>
        </w:numPr>
        <w:spacing w:before="100" w:beforeAutospacing="1" w:after="100" w:afterAutospacing="1"/>
        <w:rPr>
          <w:rFonts w:ascii="Century Gothic" w:hAnsi="Century Gothic"/>
        </w:rPr>
      </w:pPr>
      <w:r>
        <w:rPr>
          <w:rFonts w:ascii="Century Gothic" w:hAnsi="Century Gothic"/>
        </w:rPr>
        <w:t>Cross border knowledge and service exchange.</w:t>
      </w:r>
    </w:p>
    <w:p w14:paraId="78BC898B">
      <w:pPr>
        <w:numPr>
          <w:ilvl w:val="0"/>
          <w:numId w:val="4"/>
        </w:numPr>
        <w:spacing w:before="100" w:beforeAutospacing="1" w:after="100" w:afterAutospacing="1"/>
        <w:rPr>
          <w:rFonts w:ascii="Century Gothic" w:hAnsi="Century Gothic"/>
        </w:rPr>
      </w:pPr>
      <w:r>
        <w:rPr>
          <w:rStyle w:val="17"/>
          <w:rFonts w:ascii="Century Gothic" w:hAnsi="Century Gothic"/>
          <w:b w:val="0"/>
          <w:bCs w:val="0"/>
          <w:i/>
          <w:iCs/>
        </w:rPr>
        <w:t>Standardization of Training Programs</w:t>
      </w:r>
      <w:r>
        <w:rPr>
          <w:rFonts w:ascii="Century Gothic" w:hAnsi="Century Gothic"/>
          <w:b/>
          <w:bCs/>
          <w:i/>
          <w:iCs/>
        </w:rPr>
        <w:t>:</w:t>
      </w:r>
      <w:r>
        <w:rPr>
          <w:rFonts w:ascii="Century Gothic" w:hAnsi="Century Gothic"/>
        </w:rPr>
        <w:t xml:space="preserve"> Convene teaching institutions (formal and collegiate systems) to look at the training needs and existing opportunities. </w:t>
      </w:r>
    </w:p>
    <w:p w14:paraId="50D45730">
      <w:pPr>
        <w:pStyle w:val="20"/>
        <w:numPr>
          <w:ilvl w:val="1"/>
          <w:numId w:val="4"/>
        </w:numPr>
        <w:spacing w:before="100" w:beforeAutospacing="1" w:after="100" w:afterAutospacing="1"/>
        <w:rPr>
          <w:rFonts w:ascii="Century Gothic" w:hAnsi="Century Gothic"/>
        </w:rPr>
      </w:pPr>
      <w:r>
        <w:rPr>
          <w:rStyle w:val="17"/>
          <w:rFonts w:ascii="Century Gothic" w:hAnsi="Century Gothic"/>
          <w:b w:val="0"/>
          <w:bCs w:val="0"/>
          <w:i/>
          <w:iCs/>
        </w:rPr>
        <w:t>Standardization of curriculum based on minimum standards.</w:t>
      </w:r>
    </w:p>
    <w:p w14:paraId="1FE5E1BF">
      <w:pPr>
        <w:numPr>
          <w:ilvl w:val="0"/>
          <w:numId w:val="4"/>
        </w:numPr>
        <w:spacing w:before="100" w:beforeAutospacing="1" w:after="100" w:afterAutospacing="1"/>
        <w:rPr>
          <w:rFonts w:ascii="Century Gothic" w:hAnsi="Century Gothic"/>
        </w:rPr>
      </w:pPr>
      <w:r>
        <w:rPr>
          <w:rStyle w:val="17"/>
          <w:rFonts w:ascii="Century Gothic" w:hAnsi="Century Gothic"/>
          <w:b w:val="0"/>
          <w:bCs w:val="0"/>
          <w:i/>
          <w:iCs/>
        </w:rPr>
        <w:t>Mobility of eye health workers. Commitments by governments through empowerment and equipping of health service delivery points will be a strong motivator for the retention of HReH.</w:t>
      </w:r>
    </w:p>
    <w:bookmarkEnd w:id="2"/>
    <w:p w14:paraId="444941D5">
      <w:pPr>
        <w:rPr>
          <w:rFonts w:ascii="Century Gothic" w:hAnsi="Century Gothic" w:cs="Arial"/>
          <w:bCs/>
          <w:iCs/>
          <w:lang w:val="en-AU"/>
        </w:rPr>
      </w:pPr>
    </w:p>
    <w:p w14:paraId="23E7D817">
      <w:pPr>
        <w:rPr>
          <w:rFonts w:ascii="Century Gothic" w:hAnsi="Century Gothic" w:cs="Arial"/>
          <w:b/>
          <w:bCs/>
          <w:iCs/>
        </w:rPr>
      </w:pPr>
      <w:r>
        <w:rPr>
          <w:rFonts w:ascii="Century Gothic" w:hAnsi="Century Gothic" w:cs="Arial"/>
          <w:b/>
          <w:bCs/>
          <w:iCs/>
        </w:rPr>
        <w:t>Knowledge Sharing</w:t>
      </w:r>
    </w:p>
    <w:p w14:paraId="1059AA33">
      <w:pPr>
        <w:numPr>
          <w:ilvl w:val="0"/>
          <w:numId w:val="6"/>
        </w:numPr>
        <w:rPr>
          <w:rFonts w:ascii="Century Gothic" w:hAnsi="Century Gothic" w:cs="Arial"/>
          <w:bCs/>
          <w:iCs/>
        </w:rPr>
      </w:pPr>
      <w:r>
        <w:rPr>
          <w:rFonts w:ascii="Century Gothic" w:hAnsi="Century Gothic" w:cs="Arial"/>
          <w:i/>
        </w:rPr>
        <w:t>Community of Practice (CoP):</w:t>
      </w:r>
      <w:r>
        <w:rPr>
          <w:rFonts w:ascii="Century Gothic" w:hAnsi="Century Gothic" w:cs="Arial"/>
          <w:bCs/>
          <w:iCs/>
        </w:rPr>
        <w:t xml:space="preserve"> Assess existing CoPs, establish an eye health-focused CoP, and facilitate collaboration with other CoPs.</w:t>
      </w:r>
    </w:p>
    <w:p w14:paraId="5AE310B6">
      <w:pPr>
        <w:numPr>
          <w:ilvl w:val="0"/>
          <w:numId w:val="6"/>
        </w:numPr>
        <w:rPr>
          <w:rFonts w:ascii="Century Gothic" w:hAnsi="Century Gothic" w:cs="Arial"/>
          <w:bCs/>
          <w:iCs/>
        </w:rPr>
      </w:pPr>
      <w:r>
        <w:rPr>
          <w:rFonts w:ascii="Century Gothic" w:hAnsi="Century Gothic" w:cs="Arial"/>
          <w:i/>
        </w:rPr>
        <w:t>Report Dissemination</w:t>
      </w:r>
      <w:r>
        <w:rPr>
          <w:rFonts w:ascii="Century Gothic" w:hAnsi="Century Gothic" w:cs="Arial"/>
          <w:bCs/>
          <w:iCs/>
        </w:rPr>
        <w:t>: Share a report from the ECSA-HC meeting through the ECSA communications team.</w:t>
      </w:r>
    </w:p>
    <w:p w14:paraId="5404FA12">
      <w:pPr>
        <w:numPr>
          <w:ilvl w:val="0"/>
          <w:numId w:val="6"/>
        </w:numPr>
        <w:rPr>
          <w:rFonts w:ascii="Century Gothic" w:hAnsi="Century Gothic" w:cs="Arial"/>
          <w:bCs/>
          <w:iCs/>
        </w:rPr>
      </w:pPr>
      <w:r>
        <w:rPr>
          <w:rFonts w:ascii="Century Gothic" w:hAnsi="Century Gothic" w:cs="Arial"/>
          <w:i/>
        </w:rPr>
        <w:t>Strategy Communication:</w:t>
      </w:r>
      <w:r>
        <w:rPr>
          <w:rFonts w:ascii="Century Gothic" w:hAnsi="Century Gothic" w:cs="Arial"/>
          <w:bCs/>
          <w:iCs/>
        </w:rPr>
        <w:t xml:space="preserve"> Introduce and disseminate the HReH strategy at the next Best Practices Forum (BPF) to raise awareness and promote adoption.</w:t>
      </w:r>
    </w:p>
    <w:p w14:paraId="5DFA6A37">
      <w:pPr>
        <w:numPr>
          <w:ilvl w:val="0"/>
          <w:numId w:val="6"/>
        </w:numPr>
        <w:rPr>
          <w:rFonts w:ascii="Century Gothic" w:hAnsi="Century Gothic" w:cs="Arial"/>
          <w:bCs/>
          <w:iCs/>
        </w:rPr>
      </w:pPr>
      <w:r>
        <w:rPr>
          <w:rFonts w:ascii="Century Gothic" w:hAnsi="Century Gothic" w:cs="Arial"/>
          <w:i/>
        </w:rPr>
        <w:t>Evidence Generation:</w:t>
      </w:r>
      <w:r>
        <w:rPr>
          <w:rFonts w:ascii="Century Gothic" w:hAnsi="Century Gothic" w:cs="Arial"/>
          <w:bCs/>
          <w:iCs/>
        </w:rPr>
        <w:t xml:space="preserve"> Leverage the ECSA-HC knowledge team for evidence generation to support strategy implementation and policy advocacy.</w:t>
      </w:r>
    </w:p>
    <w:p w14:paraId="385E30AF">
      <w:pPr>
        <w:numPr>
          <w:numId w:val="0"/>
        </w:numPr>
        <w:ind w:left="360" w:leftChars="0"/>
        <w:rPr>
          <w:rFonts w:ascii="Century Gothic" w:hAnsi="Century Gothic" w:cs="Arial"/>
          <w:bCs/>
          <w:iCs/>
        </w:rPr>
      </w:pPr>
    </w:p>
    <w:p w14:paraId="1BCDAEFD">
      <w:pPr>
        <w:jc w:val="both"/>
        <w:rPr>
          <w:rFonts w:ascii="Century Gothic" w:hAnsi="Century Gothic" w:cs="Arial"/>
          <w:b/>
        </w:rPr>
      </w:pPr>
      <w:r>
        <w:rPr>
          <w:rFonts w:ascii="Century Gothic" w:hAnsi="Century Gothic" w:cs="Arial"/>
          <w:b/>
        </w:rPr>
        <w:t>4.2 The recommendation from the committee</w:t>
      </w:r>
    </w:p>
    <w:p w14:paraId="1019246C">
      <w:pPr>
        <w:jc w:val="both"/>
        <w:rPr>
          <w:rFonts w:ascii="Century Gothic" w:hAnsi="Century Gothic" w:cs="Arial"/>
        </w:rPr>
      </w:pPr>
    </w:p>
    <w:p w14:paraId="0238B230">
      <w:pPr>
        <w:jc w:val="both"/>
        <w:rPr>
          <w:rFonts w:ascii="Century Gothic" w:hAnsi="Century Gothic" w:cs="Arial"/>
          <w:b/>
          <w:bCs/>
          <w:i/>
          <w:iCs/>
        </w:rPr>
      </w:pPr>
      <w:bookmarkStart w:id="3" w:name="_GoBack"/>
      <w:bookmarkEnd w:id="3"/>
      <w:r>
        <w:rPr>
          <w:rFonts w:ascii="Century Gothic" w:hAnsi="Century Gothic" w:cs="Arial"/>
        </w:rPr>
        <w:t xml:space="preserve">The ECSA HC Eye Health Expert Committee directs the secretariat to </w:t>
      </w:r>
      <w:r>
        <w:rPr>
          <w:rFonts w:ascii="Century Gothic" w:hAnsi="Century Gothic" w:cs="Arial"/>
          <w:b/>
          <w:bCs/>
          <w:i/>
          <w:iCs/>
        </w:rPr>
        <w:t>Facilitate human capacity development for eye health.</w:t>
      </w:r>
    </w:p>
    <w:p w14:paraId="54189C8D">
      <w:pPr>
        <w:jc w:val="both"/>
        <w:rPr>
          <w:rFonts w:ascii="Century Gothic" w:hAnsi="Century Gothic" w:cs="Arial"/>
        </w:rPr>
      </w:pPr>
    </w:p>
    <w:p w14:paraId="4294D664">
      <w:pPr>
        <w:jc w:val="both"/>
        <w:rPr>
          <w:rFonts w:ascii="Century Gothic" w:hAnsi="Century Gothic" w:cs="Arial"/>
        </w:rPr>
      </w:pPr>
    </w:p>
    <w:p w14:paraId="5044BB90">
      <w:pPr>
        <w:jc w:val="both"/>
        <w:rPr>
          <w:rFonts w:ascii="Century Gothic" w:hAnsi="Century Gothic" w:cs="Arial"/>
        </w:rPr>
      </w:pPr>
    </w:p>
    <w:p w14:paraId="62F18E05">
      <w:pPr>
        <w:jc w:val="both"/>
        <w:rPr>
          <w:rFonts w:ascii="Century Gothic" w:hAnsi="Century Gothic" w:cs="Arial"/>
          <w:b/>
          <w:i/>
          <w:color w:val="4472C4" w:themeColor="accent1"/>
          <w14:textFill>
            <w14:solidFill>
              <w14:schemeClr w14:val="accent1"/>
            </w14:solidFill>
          </w14:textFill>
        </w:rPr>
      </w:pPr>
      <w:r>
        <w:rPr>
          <w:rFonts w:ascii="Century Gothic" w:hAnsi="Century Gothic" w:cs="Arial"/>
          <w:b/>
          <w:i/>
          <w:color w:val="4472C4" w:themeColor="accent1"/>
          <w14:textFill>
            <w14:solidFill>
              <w14:schemeClr w14:val="accent1"/>
            </w14:solidFill>
          </w14:textFill>
        </w:rPr>
        <w:t>4.3 Way Forward and next steps</w:t>
      </w:r>
    </w:p>
    <w:p w14:paraId="419A4639">
      <w:pPr>
        <w:jc w:val="both"/>
        <w:rPr>
          <w:rFonts w:ascii="Century Gothic" w:hAnsi="Century Gothic" w:cs="Arial"/>
        </w:rPr>
      </w:pPr>
    </w:p>
    <w:p w14:paraId="5EFA097F">
      <w:pPr>
        <w:pStyle w:val="20"/>
        <w:numPr>
          <w:ilvl w:val="0"/>
          <w:numId w:val="6"/>
        </w:numPr>
        <w:jc w:val="both"/>
        <w:rPr>
          <w:rFonts w:ascii="Century Gothic" w:hAnsi="Century Gothic" w:cs="Arial"/>
        </w:rPr>
      </w:pPr>
      <w:r>
        <w:rPr>
          <w:rFonts w:ascii="Century Gothic" w:hAnsi="Century Gothic" w:cs="Arial"/>
          <w:b/>
          <w:bCs/>
        </w:rPr>
        <w:t>Maximizing ECSA-HC Opportunities</w:t>
      </w:r>
      <w:r>
        <w:rPr>
          <w:rFonts w:ascii="Century Gothic" w:hAnsi="Century Gothic" w:cs="Arial"/>
        </w:rPr>
        <w:t>: The Eye Health Expert Committee will focus on leveraging the opportunities provided by ECSA-HC to strengthen eye health initiatives.</w:t>
      </w:r>
    </w:p>
    <w:p w14:paraId="394B465F">
      <w:pPr>
        <w:pStyle w:val="20"/>
        <w:numPr>
          <w:ilvl w:val="0"/>
          <w:numId w:val="6"/>
        </w:numPr>
        <w:jc w:val="both"/>
        <w:rPr>
          <w:rFonts w:ascii="Century Gothic" w:hAnsi="Century Gothic" w:cs="Arial"/>
        </w:rPr>
      </w:pPr>
      <w:r>
        <w:rPr>
          <w:rFonts w:ascii="Century Gothic" w:hAnsi="Century Gothic" w:cs="Arial"/>
          <w:b/>
          <w:bCs/>
        </w:rPr>
        <w:t>Engagement with New Leadership</w:t>
      </w:r>
      <w:r>
        <w:rPr>
          <w:rFonts w:ascii="Century Gothic" w:hAnsi="Century Gothic" w:cs="Arial"/>
        </w:rPr>
        <w:t>: Following the appointment of a new Director General, the committee will designate a delegate to pay a courtesy call to the office, introduce the committee, and discuss potential collaboration.</w:t>
      </w:r>
    </w:p>
    <w:p w14:paraId="17D7804F">
      <w:pPr>
        <w:pStyle w:val="20"/>
        <w:numPr>
          <w:ilvl w:val="0"/>
          <w:numId w:val="6"/>
        </w:numPr>
        <w:jc w:val="both"/>
        <w:rPr>
          <w:rFonts w:ascii="Century Gothic" w:hAnsi="Century Gothic" w:cs="Arial"/>
        </w:rPr>
      </w:pPr>
      <w:r>
        <w:rPr>
          <w:rFonts w:ascii="Century Gothic" w:hAnsi="Century Gothic" w:cs="Arial"/>
          <w:b/>
          <w:bCs/>
        </w:rPr>
        <w:t>Establishing Communication Channels</w:t>
      </w:r>
      <w:r>
        <w:rPr>
          <w:rFonts w:ascii="Century Gothic" w:hAnsi="Century Gothic" w:cs="Arial"/>
        </w:rPr>
        <w:t>: Develop clear communication pathways between ECSA-HC and the expert group, including adding the expert committee secretariat to the ECSA-HC mailing list.</w:t>
      </w:r>
    </w:p>
    <w:p w14:paraId="4162095A">
      <w:pPr>
        <w:pStyle w:val="20"/>
        <w:numPr>
          <w:ilvl w:val="0"/>
          <w:numId w:val="6"/>
        </w:numPr>
        <w:jc w:val="both"/>
        <w:rPr>
          <w:rFonts w:ascii="Century Gothic" w:hAnsi="Century Gothic" w:cs="Arial"/>
        </w:rPr>
      </w:pPr>
      <w:r>
        <w:rPr>
          <w:rFonts w:ascii="Century Gothic" w:hAnsi="Century Gothic" w:cs="Arial"/>
          <w:b/>
          <w:bCs/>
        </w:rPr>
        <w:t>Resolution Mapping for Strategic Alignment</w:t>
      </w:r>
      <w:r>
        <w:rPr>
          <w:rFonts w:ascii="Century Gothic" w:hAnsi="Century Gothic" w:cs="Arial"/>
        </w:rPr>
        <w:t>: Conduct a mapping exercise of ECSA-HC resolutions to identify those relevant to eye health and determine where the HReH strategy can be anchored.</w:t>
      </w:r>
    </w:p>
    <w:p w14:paraId="690D9371">
      <w:pPr>
        <w:pStyle w:val="20"/>
        <w:numPr>
          <w:ilvl w:val="0"/>
          <w:numId w:val="6"/>
        </w:numPr>
        <w:jc w:val="both"/>
        <w:rPr>
          <w:rFonts w:ascii="Century Gothic" w:hAnsi="Century Gothic" w:cs="Arial"/>
        </w:rPr>
      </w:pPr>
      <w:r>
        <w:rPr>
          <w:rFonts w:ascii="Century Gothic" w:hAnsi="Century Gothic" w:cs="Arial"/>
          <w:b/>
          <w:bCs/>
        </w:rPr>
        <w:t>HReH Strategy Dissemination</w:t>
      </w:r>
      <w:r>
        <w:rPr>
          <w:rFonts w:ascii="Century Gothic" w:hAnsi="Century Gothic" w:cs="Arial"/>
        </w:rPr>
        <w:t>: Plan for the dissemination of the HReH strategy at the upcoming Best Practices Forum.</w:t>
      </w:r>
    </w:p>
    <w:p w14:paraId="16330486">
      <w:pPr>
        <w:pStyle w:val="20"/>
        <w:numPr>
          <w:ilvl w:val="0"/>
          <w:numId w:val="6"/>
        </w:numPr>
        <w:jc w:val="both"/>
        <w:rPr>
          <w:rFonts w:ascii="Century Gothic" w:hAnsi="Century Gothic" w:cs="Arial"/>
          <w:b/>
          <w:bCs/>
          <w:i/>
          <w:iCs/>
        </w:rPr>
      </w:pPr>
      <w:r>
        <w:rPr>
          <w:rFonts w:ascii="Century Gothic" w:hAnsi="Century Gothic" w:cs="Arial"/>
          <w:b/>
          <w:bCs/>
        </w:rPr>
        <w:t>Collaboration on 75th Health Ministers Conference (HMC) Themes</w:t>
      </w:r>
      <w:r>
        <w:rPr>
          <w:rFonts w:ascii="Century Gothic" w:hAnsi="Century Gothic" w:cs="Arial"/>
        </w:rPr>
        <w:t>: The secretariat will work closely with the Health Systems and Cluster Manager to align communication on the themes and sub-themes for the 75th HMC.</w:t>
      </w:r>
    </w:p>
    <w:p w14:paraId="58F86704">
      <w:pPr>
        <w:pStyle w:val="20"/>
        <w:sectPr>
          <w:footerReference r:id="rId5" w:type="first"/>
          <w:footerReference r:id="rId3" w:type="default"/>
          <w:footerReference r:id="rId4" w:type="even"/>
          <w:pgSz w:w="12240" w:h="15840"/>
          <w:pgMar w:top="1440" w:right="1440" w:bottom="1440" w:left="1440" w:header="720" w:footer="720" w:gutter="0"/>
          <w:cols w:space="720" w:num="1"/>
          <w:docGrid w:linePitch="360" w:charSpace="0"/>
        </w:sectPr>
      </w:pPr>
    </w:p>
    <w:p w14:paraId="3EC46FF7">
      <w:pPr>
        <w:pStyle w:val="2"/>
        <w:rPr>
          <w:rFonts w:ascii="Century Gothic" w:hAnsi="Century Gothic" w:cs="Arial"/>
          <w:b/>
          <w:color w:val="auto"/>
          <w:sz w:val="24"/>
          <w:szCs w:val="24"/>
          <w:lang w:val="en-GB"/>
        </w:rPr>
      </w:pPr>
      <w:r>
        <w:rPr>
          <w:rFonts w:ascii="Century Gothic" w:hAnsi="Century Gothic" w:cs="Arial"/>
          <w:b/>
          <w:color w:val="auto"/>
          <w:sz w:val="24"/>
          <w:szCs w:val="24"/>
          <w:lang w:val="en-GB"/>
        </w:rPr>
        <w:t>Annexes</w:t>
      </w:r>
    </w:p>
    <w:p w14:paraId="11083B10">
      <w:pPr>
        <w:jc w:val="center"/>
        <w:rPr>
          <w:rFonts w:ascii="Century Gothic" w:hAnsi="Century Gothic"/>
          <w:b/>
        </w:rPr>
      </w:pPr>
      <w:r>
        <w:rPr>
          <w:rFonts w:ascii="Century Gothic" w:hAnsi="Century Gothic"/>
          <w:b/>
        </w:rPr>
        <w:t>Annex 1: Program for the ECSA-HC Eye Health Expert Committee meeting</w:t>
      </w:r>
    </w:p>
    <w:p w14:paraId="03CE909C">
      <w:pPr>
        <w:jc w:val="center"/>
        <w:rPr>
          <w:rFonts w:ascii="Century Gothic" w:hAnsi="Century Gothic"/>
          <w:b/>
        </w:rPr>
      </w:pPr>
      <w:r>
        <w:rPr>
          <w:rFonts w:ascii="Century Gothic" w:hAnsi="Century Gothic"/>
          <w:b/>
        </w:rPr>
        <w:t>Dusit Princess Hotel Residences Nairobi</w:t>
      </w:r>
    </w:p>
    <w:p w14:paraId="268E6234">
      <w:pPr>
        <w:jc w:val="center"/>
        <w:rPr>
          <w:rFonts w:ascii="Century Gothic" w:hAnsi="Century Gothic"/>
          <w:b/>
        </w:rPr>
      </w:pPr>
      <w:r>
        <w:rPr>
          <w:rFonts w:ascii="Century Gothic" w:hAnsi="Century Gothic"/>
          <w:b/>
        </w:rPr>
        <w:t xml:space="preserve">29 October 2024 </w:t>
      </w:r>
    </w:p>
    <w:p w14:paraId="3F5A1AD7">
      <w:pPr>
        <w:rPr>
          <w:rFonts w:ascii="Century Gothic" w:hAnsi="Century Gothic"/>
        </w:rPr>
      </w:pPr>
    </w:p>
    <w:tbl>
      <w:tblPr>
        <w:tblStyle w:val="18"/>
        <w:tblW w:w="9871"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6297"/>
        <w:gridCol w:w="2360"/>
      </w:tblGrid>
      <w:tr w14:paraId="7E31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7EC47B8D">
            <w:pPr>
              <w:jc w:val="center"/>
              <w:rPr>
                <w:rFonts w:ascii="Century Gothic" w:hAnsi="Century Gothic"/>
                <w:b/>
              </w:rPr>
            </w:pPr>
            <w:r>
              <w:rPr>
                <w:rFonts w:ascii="Century Gothic" w:hAnsi="Century Gothic"/>
                <w:b/>
              </w:rPr>
              <w:t>Time</w:t>
            </w:r>
          </w:p>
        </w:tc>
        <w:tc>
          <w:tcPr>
            <w:tcW w:w="6297" w:type="dxa"/>
            <w:vAlign w:val="center"/>
          </w:tcPr>
          <w:p w14:paraId="52C4BB12">
            <w:pPr>
              <w:jc w:val="center"/>
              <w:rPr>
                <w:rFonts w:ascii="Century Gothic" w:hAnsi="Century Gothic"/>
                <w:b/>
              </w:rPr>
            </w:pPr>
            <w:r>
              <w:rPr>
                <w:rFonts w:ascii="Century Gothic" w:hAnsi="Century Gothic"/>
                <w:b/>
              </w:rPr>
              <w:t>Agenda item</w:t>
            </w:r>
          </w:p>
        </w:tc>
        <w:tc>
          <w:tcPr>
            <w:tcW w:w="2360" w:type="dxa"/>
            <w:vAlign w:val="center"/>
          </w:tcPr>
          <w:p w14:paraId="60497C47">
            <w:pPr>
              <w:jc w:val="center"/>
              <w:rPr>
                <w:rFonts w:ascii="Century Gothic" w:hAnsi="Century Gothic"/>
                <w:b/>
              </w:rPr>
            </w:pPr>
            <w:r>
              <w:rPr>
                <w:rFonts w:ascii="Century Gothic" w:hAnsi="Century Gothic"/>
                <w:b/>
              </w:rPr>
              <w:t>Lead</w:t>
            </w:r>
          </w:p>
        </w:tc>
      </w:tr>
      <w:tr w14:paraId="0CD5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4D48FFB9">
            <w:pPr>
              <w:rPr>
                <w:rFonts w:ascii="Century Gothic" w:hAnsi="Century Gothic"/>
              </w:rPr>
            </w:pPr>
            <w:r>
              <w:rPr>
                <w:rFonts w:ascii="Century Gothic" w:hAnsi="Century Gothic"/>
              </w:rPr>
              <w:t xml:space="preserve">0830  </w:t>
            </w:r>
          </w:p>
        </w:tc>
        <w:tc>
          <w:tcPr>
            <w:tcW w:w="6297" w:type="dxa"/>
            <w:vAlign w:val="center"/>
          </w:tcPr>
          <w:p w14:paraId="74E936C6">
            <w:pPr>
              <w:pStyle w:val="20"/>
              <w:numPr>
                <w:ilvl w:val="0"/>
                <w:numId w:val="7"/>
              </w:numPr>
              <w:contextualSpacing/>
              <w:rPr>
                <w:rFonts w:ascii="Century Gothic" w:hAnsi="Century Gothic"/>
              </w:rPr>
            </w:pPr>
            <w:r>
              <w:rPr>
                <w:rFonts w:ascii="Century Gothic" w:hAnsi="Century Gothic"/>
              </w:rPr>
              <w:t>Registration</w:t>
            </w:r>
          </w:p>
        </w:tc>
        <w:tc>
          <w:tcPr>
            <w:tcW w:w="2360" w:type="dxa"/>
            <w:vAlign w:val="center"/>
          </w:tcPr>
          <w:p w14:paraId="31E72DCF">
            <w:pPr>
              <w:rPr>
                <w:rFonts w:ascii="Century Gothic" w:hAnsi="Century Gothic"/>
              </w:rPr>
            </w:pPr>
          </w:p>
        </w:tc>
      </w:tr>
      <w:tr w14:paraId="1651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02C57CA">
            <w:pPr>
              <w:rPr>
                <w:rFonts w:ascii="Century Gothic" w:hAnsi="Century Gothic"/>
              </w:rPr>
            </w:pPr>
            <w:r>
              <w:rPr>
                <w:rFonts w:ascii="Century Gothic" w:hAnsi="Century Gothic"/>
              </w:rPr>
              <w:t>0900</w:t>
            </w:r>
          </w:p>
        </w:tc>
        <w:tc>
          <w:tcPr>
            <w:tcW w:w="6297" w:type="dxa"/>
            <w:vAlign w:val="center"/>
          </w:tcPr>
          <w:p w14:paraId="5030AFA8">
            <w:pPr>
              <w:rPr>
                <w:rFonts w:ascii="Century Gothic" w:hAnsi="Century Gothic"/>
              </w:rPr>
            </w:pPr>
            <w:r>
              <w:rPr>
                <w:rFonts w:ascii="Century Gothic" w:hAnsi="Century Gothic"/>
              </w:rPr>
              <w:t>Welcome and introduction</w:t>
            </w:r>
          </w:p>
        </w:tc>
        <w:tc>
          <w:tcPr>
            <w:tcW w:w="2360" w:type="dxa"/>
            <w:vAlign w:val="center"/>
          </w:tcPr>
          <w:p w14:paraId="76CFA09C">
            <w:pPr>
              <w:rPr>
                <w:rFonts w:ascii="Century Gothic" w:hAnsi="Century Gothic"/>
              </w:rPr>
            </w:pPr>
            <w:r>
              <w:rPr>
                <w:rFonts w:ascii="Century Gothic" w:hAnsi="Century Gothic"/>
              </w:rPr>
              <w:t>Committee Chair</w:t>
            </w:r>
          </w:p>
        </w:tc>
      </w:tr>
      <w:tr w14:paraId="3364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B9160C4">
            <w:pPr>
              <w:rPr>
                <w:rFonts w:ascii="Century Gothic" w:hAnsi="Century Gothic"/>
              </w:rPr>
            </w:pPr>
            <w:r>
              <w:rPr>
                <w:rFonts w:ascii="Century Gothic" w:hAnsi="Century Gothic"/>
              </w:rPr>
              <w:t>0915</w:t>
            </w:r>
          </w:p>
        </w:tc>
        <w:tc>
          <w:tcPr>
            <w:tcW w:w="6297" w:type="dxa"/>
            <w:vAlign w:val="center"/>
          </w:tcPr>
          <w:p w14:paraId="433A3B82">
            <w:pPr>
              <w:rPr>
                <w:rFonts w:ascii="Century Gothic" w:hAnsi="Century Gothic"/>
              </w:rPr>
            </w:pPr>
            <w:r>
              <w:rPr>
                <w:rFonts w:ascii="Century Gothic" w:hAnsi="Century Gothic"/>
              </w:rPr>
              <w:t>ECSA HC Update:</w:t>
            </w:r>
          </w:p>
          <w:p w14:paraId="2C09D141">
            <w:pPr>
              <w:pStyle w:val="20"/>
              <w:numPr>
                <w:ilvl w:val="0"/>
                <w:numId w:val="8"/>
              </w:numPr>
              <w:contextualSpacing/>
              <w:rPr>
                <w:rFonts w:ascii="Century Gothic" w:hAnsi="Century Gothic"/>
              </w:rPr>
            </w:pPr>
            <w:r>
              <w:rPr>
                <w:rFonts w:ascii="Century Gothic" w:hAnsi="Century Gothic"/>
              </w:rPr>
              <w:t>14</w:t>
            </w:r>
            <w:r>
              <w:rPr>
                <w:rFonts w:ascii="Century Gothic" w:hAnsi="Century Gothic"/>
                <w:vertAlign w:val="superscript"/>
              </w:rPr>
              <w:t>th</w:t>
            </w:r>
            <w:r>
              <w:rPr>
                <w:rFonts w:ascii="Century Gothic" w:hAnsi="Century Gothic"/>
              </w:rPr>
              <w:t xml:space="preserve"> Best Practices Forum (BPF)</w:t>
            </w:r>
          </w:p>
          <w:p w14:paraId="0D57D7FB">
            <w:pPr>
              <w:pStyle w:val="20"/>
              <w:numPr>
                <w:ilvl w:val="0"/>
                <w:numId w:val="8"/>
              </w:numPr>
              <w:contextualSpacing/>
              <w:rPr>
                <w:rFonts w:ascii="Century Gothic" w:hAnsi="Century Gothic"/>
              </w:rPr>
            </w:pPr>
            <w:r>
              <w:rPr>
                <w:rFonts w:ascii="Century Gothic" w:hAnsi="Century Gothic"/>
              </w:rPr>
              <w:t>73</w:t>
            </w:r>
            <w:r>
              <w:rPr>
                <w:rFonts w:ascii="Century Gothic" w:hAnsi="Century Gothic"/>
                <w:vertAlign w:val="superscript"/>
              </w:rPr>
              <w:t>rd</w:t>
            </w:r>
            <w:r>
              <w:rPr>
                <w:rFonts w:ascii="Century Gothic" w:hAnsi="Century Gothic"/>
              </w:rPr>
              <w:t xml:space="preserve"> Health Ministers’ Conference</w:t>
            </w:r>
          </w:p>
        </w:tc>
        <w:tc>
          <w:tcPr>
            <w:tcW w:w="2360" w:type="dxa"/>
            <w:vAlign w:val="center"/>
          </w:tcPr>
          <w:p w14:paraId="7E057B9E">
            <w:pPr>
              <w:rPr>
                <w:rFonts w:ascii="Century Gothic" w:hAnsi="Century Gothic"/>
              </w:rPr>
            </w:pPr>
            <w:r>
              <w:rPr>
                <w:rFonts w:ascii="Century Gothic" w:hAnsi="Century Gothic"/>
              </w:rPr>
              <w:t>ECSA HC</w:t>
            </w:r>
          </w:p>
        </w:tc>
      </w:tr>
      <w:tr w14:paraId="46A3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1EA26E94">
            <w:pPr>
              <w:rPr>
                <w:rFonts w:ascii="Century Gothic" w:hAnsi="Century Gothic"/>
              </w:rPr>
            </w:pPr>
            <w:r>
              <w:rPr>
                <w:rFonts w:ascii="Century Gothic" w:hAnsi="Century Gothic"/>
              </w:rPr>
              <w:t>0945</w:t>
            </w:r>
          </w:p>
        </w:tc>
        <w:tc>
          <w:tcPr>
            <w:tcW w:w="6297" w:type="dxa"/>
            <w:vAlign w:val="center"/>
          </w:tcPr>
          <w:p w14:paraId="5878E6FA">
            <w:pPr>
              <w:rPr>
                <w:rFonts w:ascii="Century Gothic" w:hAnsi="Century Gothic"/>
              </w:rPr>
            </w:pPr>
            <w:r>
              <w:rPr>
                <w:rFonts w:ascii="Century Gothic" w:hAnsi="Century Gothic"/>
              </w:rPr>
              <w:t>Unpacking the Central, Southern and Eastern Africa Human Resources for Eye Health Strategy (2025-2030)</w:t>
            </w:r>
          </w:p>
        </w:tc>
        <w:tc>
          <w:tcPr>
            <w:tcW w:w="2360" w:type="dxa"/>
            <w:vAlign w:val="center"/>
          </w:tcPr>
          <w:p w14:paraId="3141DC0A">
            <w:pPr>
              <w:rPr>
                <w:rFonts w:ascii="Century Gothic" w:hAnsi="Century Gothic"/>
              </w:rPr>
            </w:pPr>
            <w:r>
              <w:rPr>
                <w:rFonts w:ascii="Century Gothic" w:hAnsi="Century Gothic"/>
              </w:rPr>
              <w:t>IAPB&amp;COECSA</w:t>
            </w:r>
          </w:p>
        </w:tc>
      </w:tr>
      <w:tr w14:paraId="59B0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293EF45A">
            <w:pPr>
              <w:rPr>
                <w:rFonts w:ascii="Century Gothic" w:hAnsi="Century Gothic"/>
                <w:b/>
              </w:rPr>
            </w:pPr>
            <w:r>
              <w:rPr>
                <w:rFonts w:ascii="Century Gothic" w:hAnsi="Century Gothic"/>
                <w:b/>
              </w:rPr>
              <w:t>1030</w:t>
            </w:r>
          </w:p>
        </w:tc>
        <w:tc>
          <w:tcPr>
            <w:tcW w:w="6297" w:type="dxa"/>
            <w:vAlign w:val="center"/>
          </w:tcPr>
          <w:p w14:paraId="6F30F8F5">
            <w:pPr>
              <w:rPr>
                <w:rFonts w:ascii="Century Gothic" w:hAnsi="Century Gothic"/>
                <w:b/>
              </w:rPr>
            </w:pPr>
            <w:r>
              <w:rPr>
                <w:rFonts w:ascii="Century Gothic" w:hAnsi="Century Gothic"/>
                <w:b/>
              </w:rPr>
              <w:t>Break</w:t>
            </w:r>
          </w:p>
        </w:tc>
        <w:tc>
          <w:tcPr>
            <w:tcW w:w="2360" w:type="dxa"/>
            <w:vAlign w:val="center"/>
          </w:tcPr>
          <w:p w14:paraId="44CBCE28">
            <w:pPr>
              <w:rPr>
                <w:rFonts w:ascii="Century Gothic" w:hAnsi="Century Gothic"/>
                <w:b/>
              </w:rPr>
            </w:pPr>
          </w:p>
        </w:tc>
      </w:tr>
      <w:tr w14:paraId="1647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B8873E3">
            <w:pPr>
              <w:rPr>
                <w:rFonts w:ascii="Century Gothic" w:hAnsi="Century Gothic"/>
              </w:rPr>
            </w:pPr>
            <w:r>
              <w:rPr>
                <w:rFonts w:ascii="Century Gothic" w:hAnsi="Century Gothic"/>
              </w:rPr>
              <w:t>1050</w:t>
            </w:r>
          </w:p>
        </w:tc>
        <w:tc>
          <w:tcPr>
            <w:tcW w:w="6297" w:type="dxa"/>
            <w:vAlign w:val="center"/>
          </w:tcPr>
          <w:p w14:paraId="6CD2B6AF">
            <w:pPr>
              <w:rPr>
                <w:rFonts w:ascii="Century Gothic" w:hAnsi="Century Gothic"/>
              </w:rPr>
            </w:pPr>
            <w:r>
              <w:rPr>
                <w:rFonts w:ascii="Century Gothic" w:hAnsi="Century Gothic"/>
              </w:rPr>
              <w:t>ECSA HC Opportunities to promote the HReH strategy</w:t>
            </w:r>
          </w:p>
        </w:tc>
        <w:tc>
          <w:tcPr>
            <w:tcW w:w="2360" w:type="dxa"/>
            <w:vAlign w:val="center"/>
          </w:tcPr>
          <w:p w14:paraId="6AB75514">
            <w:pPr>
              <w:rPr>
                <w:rFonts w:ascii="Century Gothic" w:hAnsi="Century Gothic"/>
              </w:rPr>
            </w:pPr>
            <w:r>
              <w:rPr>
                <w:rFonts w:ascii="Century Gothic" w:hAnsi="Century Gothic"/>
              </w:rPr>
              <w:t>ECSA HC</w:t>
            </w:r>
          </w:p>
        </w:tc>
      </w:tr>
      <w:tr w14:paraId="560FC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A2B5EED">
            <w:pPr>
              <w:rPr>
                <w:rFonts w:ascii="Century Gothic" w:hAnsi="Century Gothic"/>
                <w:b/>
              </w:rPr>
            </w:pPr>
            <w:r>
              <w:rPr>
                <w:rFonts w:ascii="Century Gothic" w:hAnsi="Century Gothic"/>
                <w:b/>
              </w:rPr>
              <w:t>1200</w:t>
            </w:r>
          </w:p>
        </w:tc>
        <w:tc>
          <w:tcPr>
            <w:tcW w:w="6297" w:type="dxa"/>
            <w:vAlign w:val="center"/>
          </w:tcPr>
          <w:p w14:paraId="4CE58D14">
            <w:pPr>
              <w:rPr>
                <w:rFonts w:ascii="Century Gothic" w:hAnsi="Century Gothic"/>
                <w:b/>
              </w:rPr>
            </w:pPr>
            <w:r>
              <w:rPr>
                <w:rFonts w:ascii="Century Gothic" w:hAnsi="Century Gothic"/>
                <w:b/>
              </w:rPr>
              <w:t xml:space="preserve">Lunch </w:t>
            </w:r>
          </w:p>
        </w:tc>
        <w:tc>
          <w:tcPr>
            <w:tcW w:w="2360" w:type="dxa"/>
            <w:vAlign w:val="center"/>
          </w:tcPr>
          <w:p w14:paraId="1D621016">
            <w:pPr>
              <w:rPr>
                <w:rFonts w:ascii="Century Gothic" w:hAnsi="Century Gothic"/>
                <w:b/>
              </w:rPr>
            </w:pPr>
          </w:p>
        </w:tc>
      </w:tr>
      <w:tr w14:paraId="7C6A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214" w:type="dxa"/>
            <w:vAlign w:val="center"/>
          </w:tcPr>
          <w:p w14:paraId="36EA8807">
            <w:pPr>
              <w:rPr>
                <w:rFonts w:ascii="Century Gothic" w:hAnsi="Century Gothic"/>
              </w:rPr>
            </w:pPr>
            <w:r>
              <w:rPr>
                <w:rFonts w:ascii="Century Gothic" w:hAnsi="Century Gothic"/>
              </w:rPr>
              <w:t>1300</w:t>
            </w:r>
          </w:p>
        </w:tc>
        <w:tc>
          <w:tcPr>
            <w:tcW w:w="6297" w:type="dxa"/>
            <w:vAlign w:val="center"/>
          </w:tcPr>
          <w:p w14:paraId="5E7138A7">
            <w:pPr>
              <w:rPr>
                <w:rFonts w:ascii="Century Gothic" w:hAnsi="Century Gothic"/>
              </w:rPr>
            </w:pPr>
            <w:r>
              <w:rPr>
                <w:rFonts w:ascii="Century Gothic" w:hAnsi="Century Gothic"/>
              </w:rPr>
              <w:t>ECSA HC Expert Committee on Eye Health response</w:t>
            </w:r>
          </w:p>
          <w:p w14:paraId="1D037D87">
            <w:pPr>
              <w:pStyle w:val="20"/>
              <w:numPr>
                <w:ilvl w:val="0"/>
                <w:numId w:val="9"/>
              </w:numPr>
              <w:contextualSpacing/>
              <w:rPr>
                <w:rFonts w:ascii="Century Gothic" w:hAnsi="Century Gothic"/>
              </w:rPr>
            </w:pPr>
            <w:r>
              <w:rPr>
                <w:rFonts w:ascii="Century Gothic" w:hAnsi="Century Gothic"/>
              </w:rPr>
              <w:t xml:space="preserve">Workshopping ways to leverage ECSA HC opportunities to promote the HReH Strategy </w:t>
            </w:r>
          </w:p>
        </w:tc>
        <w:tc>
          <w:tcPr>
            <w:tcW w:w="2360" w:type="dxa"/>
            <w:vAlign w:val="center"/>
          </w:tcPr>
          <w:p w14:paraId="29F378B7">
            <w:pPr>
              <w:rPr>
                <w:rFonts w:ascii="Century Gothic" w:hAnsi="Century Gothic"/>
              </w:rPr>
            </w:pPr>
            <w:r>
              <w:rPr>
                <w:rFonts w:ascii="Century Gothic" w:hAnsi="Century Gothic"/>
              </w:rPr>
              <w:t>IAPB&amp;COECSA</w:t>
            </w:r>
          </w:p>
        </w:tc>
      </w:tr>
      <w:tr w14:paraId="7B08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214" w:type="dxa"/>
            <w:vAlign w:val="center"/>
          </w:tcPr>
          <w:p w14:paraId="0C1CC5DD">
            <w:pPr>
              <w:rPr>
                <w:rFonts w:ascii="Century Gothic" w:hAnsi="Century Gothic"/>
                <w:b/>
                <w:bCs/>
              </w:rPr>
            </w:pPr>
            <w:r>
              <w:rPr>
                <w:rFonts w:ascii="Century Gothic" w:hAnsi="Century Gothic"/>
                <w:b/>
                <w:bCs/>
              </w:rPr>
              <w:t>1430</w:t>
            </w:r>
          </w:p>
        </w:tc>
        <w:tc>
          <w:tcPr>
            <w:tcW w:w="6297" w:type="dxa"/>
            <w:vAlign w:val="center"/>
          </w:tcPr>
          <w:p w14:paraId="46DF6CF3">
            <w:pPr>
              <w:rPr>
                <w:rFonts w:ascii="Century Gothic" w:hAnsi="Century Gothic"/>
                <w:b/>
                <w:bCs/>
              </w:rPr>
            </w:pPr>
            <w:r>
              <w:rPr>
                <w:rFonts w:ascii="Century Gothic" w:hAnsi="Century Gothic"/>
                <w:b/>
              </w:rPr>
              <w:t>Break</w:t>
            </w:r>
          </w:p>
        </w:tc>
        <w:tc>
          <w:tcPr>
            <w:tcW w:w="2360" w:type="dxa"/>
            <w:vAlign w:val="center"/>
          </w:tcPr>
          <w:p w14:paraId="046392ED">
            <w:pPr>
              <w:rPr>
                <w:rFonts w:ascii="Century Gothic" w:hAnsi="Century Gothic"/>
              </w:rPr>
            </w:pPr>
          </w:p>
        </w:tc>
      </w:tr>
      <w:tr w14:paraId="6CB4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2695B2DE">
            <w:pPr>
              <w:rPr>
                <w:rFonts w:ascii="Century Gothic" w:hAnsi="Century Gothic"/>
              </w:rPr>
            </w:pPr>
            <w:r>
              <w:rPr>
                <w:rFonts w:ascii="Century Gothic" w:hAnsi="Century Gothic"/>
              </w:rPr>
              <w:t>1445</w:t>
            </w:r>
          </w:p>
        </w:tc>
        <w:tc>
          <w:tcPr>
            <w:tcW w:w="6297" w:type="dxa"/>
            <w:vAlign w:val="center"/>
          </w:tcPr>
          <w:p w14:paraId="389379E4">
            <w:pPr>
              <w:rPr>
                <w:rFonts w:ascii="Century Gothic" w:hAnsi="Century Gothic"/>
              </w:rPr>
            </w:pPr>
            <w:r>
              <w:rPr>
                <w:rFonts w:ascii="Century Gothic" w:hAnsi="Century Gothic"/>
              </w:rPr>
              <w:t>ECSA HC Expert Committee on Eye Health response…</w:t>
            </w:r>
          </w:p>
          <w:p w14:paraId="173BE22A">
            <w:pPr>
              <w:pStyle w:val="20"/>
              <w:numPr>
                <w:ilvl w:val="0"/>
                <w:numId w:val="10"/>
              </w:numPr>
              <w:rPr>
                <w:rFonts w:ascii="Century Gothic" w:hAnsi="Century Gothic"/>
              </w:rPr>
            </w:pPr>
            <w:r>
              <w:rPr>
                <w:rFonts w:ascii="Century Gothic" w:hAnsi="Century Gothic"/>
              </w:rPr>
              <w:t>Workshopping ways to leverage ECSA HC opportunities to promote the HReH Strategy</w:t>
            </w:r>
          </w:p>
          <w:p w14:paraId="57FBA306">
            <w:pPr>
              <w:rPr>
                <w:rFonts w:ascii="Century Gothic" w:hAnsi="Century Gothic"/>
              </w:rPr>
            </w:pPr>
          </w:p>
        </w:tc>
        <w:tc>
          <w:tcPr>
            <w:tcW w:w="2360" w:type="dxa"/>
            <w:vAlign w:val="center"/>
          </w:tcPr>
          <w:p w14:paraId="72456EAF">
            <w:pPr>
              <w:contextualSpacing/>
              <w:rPr>
                <w:rFonts w:ascii="Century Gothic" w:hAnsi="Century Gothic"/>
                <w:lang w:val="en-ZA"/>
              </w:rPr>
            </w:pPr>
            <w:r>
              <w:rPr>
                <w:rFonts w:ascii="Century Gothic" w:hAnsi="Century Gothic"/>
              </w:rPr>
              <w:t>IAPB&amp;COECSA</w:t>
            </w:r>
          </w:p>
        </w:tc>
      </w:tr>
      <w:tr w14:paraId="7468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054CCBD8">
            <w:pPr>
              <w:rPr>
                <w:rFonts w:ascii="Century Gothic" w:hAnsi="Century Gothic"/>
              </w:rPr>
            </w:pPr>
            <w:r>
              <w:rPr>
                <w:rFonts w:ascii="Century Gothic" w:hAnsi="Century Gothic"/>
              </w:rPr>
              <w:t>1545</w:t>
            </w:r>
          </w:p>
        </w:tc>
        <w:tc>
          <w:tcPr>
            <w:tcW w:w="6297" w:type="dxa"/>
            <w:vAlign w:val="center"/>
          </w:tcPr>
          <w:p w14:paraId="6E34C8DA">
            <w:pPr>
              <w:rPr>
                <w:rFonts w:ascii="Century Gothic" w:hAnsi="Century Gothic"/>
              </w:rPr>
            </w:pPr>
            <w:r>
              <w:rPr>
                <w:rFonts w:ascii="Century Gothic" w:hAnsi="Century Gothic"/>
              </w:rPr>
              <w:t>Summary and next steps</w:t>
            </w:r>
          </w:p>
        </w:tc>
        <w:tc>
          <w:tcPr>
            <w:tcW w:w="2360" w:type="dxa"/>
            <w:vAlign w:val="center"/>
          </w:tcPr>
          <w:p w14:paraId="7A0A338D">
            <w:pPr>
              <w:pStyle w:val="20"/>
              <w:ind w:left="180"/>
              <w:contextualSpacing/>
              <w:rPr>
                <w:rFonts w:ascii="Century Gothic" w:hAnsi="Century Gothic"/>
                <w:lang w:val="en-ZA"/>
              </w:rPr>
            </w:pPr>
            <w:r>
              <w:rPr>
                <w:rFonts w:ascii="Century Gothic" w:hAnsi="Century Gothic"/>
              </w:rPr>
              <w:t>Committee Chair</w:t>
            </w:r>
          </w:p>
        </w:tc>
      </w:tr>
      <w:tr w14:paraId="6C2C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05BE868F">
            <w:pPr>
              <w:rPr>
                <w:rFonts w:ascii="Century Gothic" w:hAnsi="Century Gothic"/>
              </w:rPr>
            </w:pPr>
            <w:r>
              <w:rPr>
                <w:rFonts w:ascii="Century Gothic" w:hAnsi="Century Gothic"/>
              </w:rPr>
              <w:t>1600</w:t>
            </w:r>
          </w:p>
        </w:tc>
        <w:tc>
          <w:tcPr>
            <w:tcW w:w="6297" w:type="dxa"/>
            <w:vAlign w:val="center"/>
          </w:tcPr>
          <w:p w14:paraId="793CDF88">
            <w:pPr>
              <w:rPr>
                <w:rFonts w:ascii="Century Gothic" w:hAnsi="Century Gothic"/>
              </w:rPr>
            </w:pPr>
            <w:r>
              <w:rPr>
                <w:rFonts w:ascii="Century Gothic" w:hAnsi="Century Gothic"/>
              </w:rPr>
              <w:t>Meeting Close</w:t>
            </w:r>
          </w:p>
        </w:tc>
        <w:tc>
          <w:tcPr>
            <w:tcW w:w="2360" w:type="dxa"/>
            <w:vAlign w:val="center"/>
          </w:tcPr>
          <w:p w14:paraId="2F585E77">
            <w:pPr>
              <w:pStyle w:val="20"/>
              <w:ind w:left="180"/>
              <w:contextualSpacing/>
              <w:rPr>
                <w:rFonts w:ascii="Century Gothic" w:hAnsi="Century Gothic"/>
                <w:lang w:val="en-ZA"/>
              </w:rPr>
            </w:pPr>
          </w:p>
        </w:tc>
      </w:tr>
    </w:tbl>
    <w:p w14:paraId="568B8332">
      <w:pPr>
        <w:rPr>
          <w:rFonts w:ascii="Century Gothic" w:hAnsi="Century Gothic"/>
        </w:rPr>
      </w:pPr>
    </w:p>
    <w:p w14:paraId="418F9A9D">
      <w:pPr>
        <w:widowControl w:val="0"/>
        <w:suppressAutoHyphens/>
        <w:autoSpaceDN w:val="0"/>
        <w:spacing w:after="160" w:line="251" w:lineRule="auto"/>
        <w:ind w:left="360"/>
        <w:jc w:val="both"/>
        <w:textAlignment w:val="baseline"/>
        <w:rPr>
          <w:rFonts w:ascii="Century Gothic" w:hAnsi="Century Gothic" w:cs="Arial" w:eastAsiaTheme="minorHAnsi"/>
          <w:bCs/>
          <w:spacing w:val="-3"/>
          <w:lang w:val="en-GB"/>
        </w:rPr>
      </w:pPr>
    </w:p>
    <w:p w14:paraId="3D2B62E9">
      <w:pPr>
        <w:rPr>
          <w:rFonts w:ascii="Century Gothic" w:hAnsi="Century Gothic" w:cs="Arial"/>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DengXian">
    <w:altName w:val="SimSun"/>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DengXian Light">
    <w:altName w:val="SimSun"/>
    <w:panose1 w:val="00000000000000000000"/>
    <w:charset w:val="86"/>
    <w:family w:val="auto"/>
    <w:pitch w:val="default"/>
    <w:sig w:usb0="00000000" w:usb1="00000000" w:usb2="00000016" w:usb3="00000000" w:csb0="0004000F" w:csb1="00000000"/>
  </w:font>
  <w:font w:name="Garamond">
    <w:panose1 w:val="02020404030301010803"/>
    <w:charset w:val="00"/>
    <w:family w:val="roman"/>
    <w:pitch w:val="default"/>
    <w:sig w:usb0="00000287" w:usb1="00000000" w:usb2="00000000" w:usb3="00000000" w:csb0="0000009F" w:csb1="DFD70000"/>
  </w:font>
  <w:font w:name="Arial Unicode MS">
    <w:altName w:val="Arial"/>
    <w:panose1 w:val="020B0604020202020204"/>
    <w:charset w:val="00"/>
    <w:family w:val="auto"/>
    <w:pitch w:val="default"/>
    <w:sig w:usb0="00000000" w:usb1="00000000" w:usb2="0000003F" w:usb3="00000000" w:csb0="003F01FF" w:csb1="00000000"/>
  </w:font>
  <w:font w:name="Century Gothic">
    <w:panose1 w:val="020B0502020202020204"/>
    <w:charset w:val="00"/>
    <w:family w:val="swiss"/>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7F531">
    <w:pPr>
      <w:pStyle w:val="12"/>
      <w:framePr w:wrap="auto" w:vAnchor="text" w:hAnchor="margin" w:xAlign="right" w:y="1"/>
      <w:rPr>
        <w:rStyle w:val="16"/>
      </w:rPr>
    </w:pPr>
    <w:r>
      <w:rPr>
        <w:rStyle w:val="16"/>
      </w:rPr>
      <w:fldChar w:fldCharType="begin"/>
    </w:r>
    <w:r>
      <w:rPr>
        <w:rStyle w:val="16"/>
      </w:rPr>
      <w:instrText xml:space="preserve">PAGE  </w:instrText>
    </w:r>
    <w:r>
      <w:rPr>
        <w:rStyle w:val="16"/>
      </w:rPr>
      <w:fldChar w:fldCharType="separate"/>
    </w:r>
    <w:r>
      <w:rPr>
        <w:rStyle w:val="16"/>
      </w:rPr>
      <w:t>2</w:t>
    </w:r>
    <w:r>
      <w:rPr>
        <w:rStyle w:val="16"/>
      </w:rPr>
      <w:fldChar w:fldCharType="end"/>
    </w:r>
  </w:p>
  <w:p w14:paraId="7F3606BA">
    <w:pPr>
      <w:pStyle w:val="12"/>
      <w:ind w:right="360"/>
    </w:pPr>
    <w:r>
      <w:rPr>
        <w:rFonts w:ascii="Helvetica" w:hAnsi="Helvetica" w:cs="Helvetica"/>
        <w:color w:val="18376A"/>
        <w:sz w:val="29"/>
        <w:szCs w:val="29"/>
      </w:rPr>
      <w:drawing>
        <wp:inline distT="0" distB="0" distL="0" distR="0">
          <wp:extent cx="1307465" cy="574675"/>
          <wp:effectExtent l="0" t="0" r="0" b="9525"/>
          <wp:docPr id="2094512310" name="Picture 20945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12310" name="Picture 2094512310"/>
                  <pic:cNvPicPr>
                    <a:picLocks noChangeAspect="1" noChangeArrowheads="1"/>
                  </pic:cNvPicPr>
                </pic:nvPicPr>
                <pic:blipFill>
                  <a:blip r:embed="rId1"/>
                  <a:srcRect/>
                  <a:stretch>
                    <a:fillRect/>
                  </a:stretch>
                </pic:blipFill>
                <pic:spPr>
                  <a:xfrm>
                    <a:off x="0" y="0"/>
                    <a:ext cx="1408083" cy="619003"/>
                  </a:xfrm>
                  <a:prstGeom prst="rect">
                    <a:avLst/>
                  </a:prstGeom>
                  <a:noFill/>
                  <a:ln>
                    <a:noFill/>
                  </a:ln>
                </pic:spPr>
              </pic:pic>
            </a:graphicData>
          </a:graphic>
        </wp:inline>
      </w:drawing>
    </w:r>
    <w:r>
      <w:t xml:space="preserve">                            </w:t>
    </w:r>
    <w:r>
      <w:rPr>
        <w:rFonts w:ascii="Arial" w:hAnsi="Arial" w:cs="Arial"/>
      </w:rPr>
      <w:drawing>
        <wp:inline distT="0" distB="0" distL="0" distR="0">
          <wp:extent cx="673100" cy="614680"/>
          <wp:effectExtent l="0" t="0" r="0" b="0"/>
          <wp:docPr id="1090910028" name="Picture 1090910028" descr="C:\Users\Admin\AppData\Local\Microsoft\Windows\INetCacheContent.Word\ecsa 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10028" name="Picture 1090910028" descr="C:\Users\Admin\AppData\Local\Microsoft\Windows\INetCacheContent.Word\ecsa logo2.png"/>
                  <pic:cNvPicPr>
                    <a:picLocks noChangeAspect="1" noChangeArrowheads="1"/>
                  </pic:cNvPicPr>
                </pic:nvPicPr>
                <pic:blipFill>
                  <a:blip r:embed="rId2" cstate="print"/>
                  <a:srcRect/>
                  <a:stretch>
                    <a:fillRect/>
                  </a:stretch>
                </pic:blipFill>
                <pic:spPr>
                  <a:xfrm>
                    <a:off x="0" y="0"/>
                    <a:ext cx="728710" cy="665845"/>
                  </a:xfrm>
                  <a:prstGeom prst="rect">
                    <a:avLst/>
                  </a:prstGeom>
                  <a:noFill/>
                  <a:ln>
                    <a:noFill/>
                  </a:ln>
                </pic:spPr>
              </pic:pic>
            </a:graphicData>
          </a:graphic>
        </wp:inline>
      </w:drawing>
    </w:r>
    <w:r>
      <w:t xml:space="preserve">                                     </w:t>
    </w:r>
    <w:r>
      <w:drawing>
        <wp:inline distT="0" distB="0" distL="0" distR="0">
          <wp:extent cx="1223645" cy="459740"/>
          <wp:effectExtent l="0" t="0" r="0" b="0"/>
          <wp:docPr id="65431277" name="Picture 65431277" descr="logo-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1277" name="Picture 65431277" descr="logo-big.jpg"/>
                  <pic:cNvPicPr>
                    <a:picLocks noChangeAspect="1" noChangeArrowheads="1"/>
                  </pic:cNvPicPr>
                </pic:nvPicPr>
                <pic:blipFill>
                  <a:blip r:embed="rId3"/>
                  <a:srcRect/>
                  <a:stretch>
                    <a:fillRect/>
                  </a:stretch>
                </pic:blipFill>
                <pic:spPr>
                  <a:xfrm>
                    <a:off x="0" y="0"/>
                    <a:ext cx="1290477" cy="484709"/>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E19F0">
    <w:pPr>
      <w:pStyle w:val="12"/>
      <w:framePr w:wrap="auto" w:vAnchor="text" w:hAnchor="margin" w:xAlign="right" w:y="1"/>
      <w:rPr>
        <w:rStyle w:val="16"/>
      </w:rPr>
    </w:pPr>
    <w:r>
      <w:rPr>
        <w:rStyle w:val="16"/>
      </w:rPr>
      <w:fldChar w:fldCharType="begin"/>
    </w:r>
    <w:r>
      <w:rPr>
        <w:rStyle w:val="16"/>
      </w:rPr>
      <w:instrText xml:space="preserve">PAGE  </w:instrText>
    </w:r>
    <w:r>
      <w:rPr>
        <w:rStyle w:val="16"/>
      </w:rPr>
      <w:fldChar w:fldCharType="separate"/>
    </w:r>
    <w:r>
      <w:rPr>
        <w:rStyle w:val="16"/>
      </w:rPr>
      <w:t>1</w:t>
    </w:r>
    <w:r>
      <w:rPr>
        <w:rStyle w:val="16"/>
      </w:rPr>
      <w:fldChar w:fldCharType="end"/>
    </w:r>
  </w:p>
  <w:p w14:paraId="1375D03A">
    <w:pPr>
      <w:pStyle w:val="1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2FFB6">
    <w:pPr>
      <w:pStyle w:val="12"/>
    </w:pPr>
    <w:r>
      <w:rPr>
        <w:rFonts w:ascii="Helvetica" w:hAnsi="Helvetica" w:cs="Helvetica"/>
        <w:color w:val="18376A"/>
        <w:sz w:val="29"/>
        <w:szCs w:val="29"/>
      </w:rPr>
      <w:drawing>
        <wp:inline distT="0" distB="0" distL="0" distR="0">
          <wp:extent cx="1156335" cy="584200"/>
          <wp:effectExtent l="0" t="0" r="12065" b="0"/>
          <wp:docPr id="750539221" name="Picture 75053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39221" name="Picture 750539221"/>
                  <pic:cNvPicPr>
                    <a:picLocks noChangeAspect="1" noChangeArrowheads="1"/>
                  </pic:cNvPicPr>
                </pic:nvPicPr>
                <pic:blipFill>
                  <a:blip r:embed="rId1"/>
                  <a:srcRect/>
                  <a:stretch>
                    <a:fillRect/>
                  </a:stretch>
                </pic:blipFill>
                <pic:spPr>
                  <a:xfrm>
                    <a:off x="0" y="0"/>
                    <a:ext cx="1253096" cy="633085"/>
                  </a:xfrm>
                  <a:prstGeom prst="rect">
                    <a:avLst/>
                  </a:prstGeom>
                  <a:noFill/>
                  <a:ln>
                    <a:noFill/>
                  </a:ln>
                </pic:spPr>
              </pic:pic>
            </a:graphicData>
          </a:graphic>
        </wp:inline>
      </w:drawing>
    </w:r>
    <w:r>
      <w:t xml:space="preserve">                                                                                             </w:t>
    </w:r>
    <w:r>
      <w:drawing>
        <wp:inline distT="0" distB="0" distL="0" distR="0">
          <wp:extent cx="1223645" cy="459740"/>
          <wp:effectExtent l="0" t="0" r="0" b="0"/>
          <wp:docPr id="1172871088" name="Picture 1172871088" descr="logo-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71088" name="Picture 1172871088" descr="logo-big.jpg"/>
                  <pic:cNvPicPr>
                    <a:picLocks noChangeAspect="1" noChangeArrowheads="1"/>
                  </pic:cNvPicPr>
                </pic:nvPicPr>
                <pic:blipFill>
                  <a:blip r:embed="rId2"/>
                  <a:srcRect/>
                  <a:stretch>
                    <a:fillRect/>
                  </a:stretch>
                </pic:blipFill>
                <pic:spPr>
                  <a:xfrm>
                    <a:off x="0" y="0"/>
                    <a:ext cx="1290477" cy="484709"/>
                  </a:xfrm>
                  <a:prstGeom prst="rect">
                    <a:avLst/>
                  </a:prstGeom>
                  <a:noFill/>
                  <a:ln>
                    <a:noFill/>
                  </a:ln>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A87D35"/>
    <w:multiLevelType w:val="multilevel"/>
    <w:tmpl w:val="0AA87D3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1E805A93"/>
    <w:multiLevelType w:val="multilevel"/>
    <w:tmpl w:val="1E805A9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2D363416"/>
    <w:multiLevelType w:val="multilevel"/>
    <w:tmpl w:val="2D36341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366E574F"/>
    <w:multiLevelType w:val="multilevel"/>
    <w:tmpl w:val="366E574F"/>
    <w:lvl w:ilvl="0" w:tentative="0">
      <w:start w:val="1"/>
      <w:numFmt w:val="bullet"/>
      <w:lvlText w:val="o"/>
      <w:lvlJc w:val="left"/>
      <w:pPr>
        <w:ind w:left="1440" w:hanging="360"/>
      </w:pPr>
      <w:rPr>
        <w:rFonts w:hint="default" w:ascii="Courier New" w:hAnsi="Courier New" w:cs="Courier New"/>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
    <w:nsid w:val="40250EC1"/>
    <w:multiLevelType w:val="multilevel"/>
    <w:tmpl w:val="40250E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41A511A2"/>
    <w:multiLevelType w:val="multilevel"/>
    <w:tmpl w:val="41A511A2"/>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541162F7"/>
    <w:multiLevelType w:val="multilevel"/>
    <w:tmpl w:val="541162F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55490E95"/>
    <w:multiLevelType w:val="multilevel"/>
    <w:tmpl w:val="55490E9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5BB14D37"/>
    <w:multiLevelType w:val="multilevel"/>
    <w:tmpl w:val="5BB14D3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61763828"/>
    <w:multiLevelType w:val="multilevel"/>
    <w:tmpl w:val="6176382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2"/>
  </w:num>
  <w:num w:numId="3">
    <w:abstractNumId w:val="6"/>
  </w:num>
  <w:num w:numId="4">
    <w:abstractNumId w:val="0"/>
  </w:num>
  <w:num w:numId="5">
    <w:abstractNumId w:val="3"/>
  </w:num>
  <w:num w:numId="6">
    <w:abstractNumId w:val="1"/>
  </w:num>
  <w:num w:numId="7">
    <w:abstractNumId w:val="7"/>
  </w:num>
  <w:num w:numId="8">
    <w:abstractNumId w:val="8"/>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997"/>
    <w:rsid w:val="000031AC"/>
    <w:rsid w:val="000032C3"/>
    <w:rsid w:val="00006571"/>
    <w:rsid w:val="000131FC"/>
    <w:rsid w:val="00017B91"/>
    <w:rsid w:val="000271B0"/>
    <w:rsid w:val="00033342"/>
    <w:rsid w:val="00041AB2"/>
    <w:rsid w:val="00045F2C"/>
    <w:rsid w:val="00054BBF"/>
    <w:rsid w:val="000606F1"/>
    <w:rsid w:val="0006142A"/>
    <w:rsid w:val="00064189"/>
    <w:rsid w:val="0008372E"/>
    <w:rsid w:val="000A0F3B"/>
    <w:rsid w:val="000A7140"/>
    <w:rsid w:val="000B1843"/>
    <w:rsid w:val="000B27A5"/>
    <w:rsid w:val="000B2D48"/>
    <w:rsid w:val="000C1A1B"/>
    <w:rsid w:val="000C5919"/>
    <w:rsid w:val="000D0C8B"/>
    <w:rsid w:val="0010087E"/>
    <w:rsid w:val="00101DA0"/>
    <w:rsid w:val="00105230"/>
    <w:rsid w:val="001076E6"/>
    <w:rsid w:val="001100EF"/>
    <w:rsid w:val="00120129"/>
    <w:rsid w:val="001204F4"/>
    <w:rsid w:val="00123CC6"/>
    <w:rsid w:val="00131710"/>
    <w:rsid w:val="00143F2F"/>
    <w:rsid w:val="00153B0E"/>
    <w:rsid w:val="001654F6"/>
    <w:rsid w:val="00191370"/>
    <w:rsid w:val="001974EA"/>
    <w:rsid w:val="001A1269"/>
    <w:rsid w:val="001A66EA"/>
    <w:rsid w:val="001C0D72"/>
    <w:rsid w:val="001C5A23"/>
    <w:rsid w:val="001C7F90"/>
    <w:rsid w:val="001E3717"/>
    <w:rsid w:val="001E5A84"/>
    <w:rsid w:val="002050E7"/>
    <w:rsid w:val="002062E3"/>
    <w:rsid w:val="00206554"/>
    <w:rsid w:val="00210FEA"/>
    <w:rsid w:val="002129A6"/>
    <w:rsid w:val="002231DB"/>
    <w:rsid w:val="00227422"/>
    <w:rsid w:val="00232C8F"/>
    <w:rsid w:val="00237A6E"/>
    <w:rsid w:val="00247398"/>
    <w:rsid w:val="00255A06"/>
    <w:rsid w:val="002714D8"/>
    <w:rsid w:val="00276125"/>
    <w:rsid w:val="00290355"/>
    <w:rsid w:val="002952AF"/>
    <w:rsid w:val="002A49BA"/>
    <w:rsid w:val="002A567F"/>
    <w:rsid w:val="002A71B2"/>
    <w:rsid w:val="002B3390"/>
    <w:rsid w:val="002D4809"/>
    <w:rsid w:val="002D51F2"/>
    <w:rsid w:val="002E18C2"/>
    <w:rsid w:val="002E309B"/>
    <w:rsid w:val="002E69E3"/>
    <w:rsid w:val="00303AF7"/>
    <w:rsid w:val="00307AA8"/>
    <w:rsid w:val="00311710"/>
    <w:rsid w:val="00321992"/>
    <w:rsid w:val="00336CE2"/>
    <w:rsid w:val="00343725"/>
    <w:rsid w:val="00354A39"/>
    <w:rsid w:val="00375D5C"/>
    <w:rsid w:val="00384D42"/>
    <w:rsid w:val="003A2324"/>
    <w:rsid w:val="003C34FF"/>
    <w:rsid w:val="003C46BD"/>
    <w:rsid w:val="003C5CA7"/>
    <w:rsid w:val="003C73C0"/>
    <w:rsid w:val="003D4075"/>
    <w:rsid w:val="003E09D1"/>
    <w:rsid w:val="003E22E0"/>
    <w:rsid w:val="003E276D"/>
    <w:rsid w:val="003E51AB"/>
    <w:rsid w:val="003E75D1"/>
    <w:rsid w:val="003F64F0"/>
    <w:rsid w:val="003F6FE1"/>
    <w:rsid w:val="003F7887"/>
    <w:rsid w:val="00407849"/>
    <w:rsid w:val="00416BB0"/>
    <w:rsid w:val="0043322A"/>
    <w:rsid w:val="00444997"/>
    <w:rsid w:val="00465E60"/>
    <w:rsid w:val="00474910"/>
    <w:rsid w:val="00494036"/>
    <w:rsid w:val="00497C38"/>
    <w:rsid w:val="004A3615"/>
    <w:rsid w:val="004B72D5"/>
    <w:rsid w:val="004E08AA"/>
    <w:rsid w:val="004E1421"/>
    <w:rsid w:val="00502A28"/>
    <w:rsid w:val="005033B4"/>
    <w:rsid w:val="00504D16"/>
    <w:rsid w:val="00505D1A"/>
    <w:rsid w:val="0052442C"/>
    <w:rsid w:val="00544445"/>
    <w:rsid w:val="00547E7A"/>
    <w:rsid w:val="00553CAC"/>
    <w:rsid w:val="00563E60"/>
    <w:rsid w:val="005805F9"/>
    <w:rsid w:val="00581010"/>
    <w:rsid w:val="00583C6F"/>
    <w:rsid w:val="005A0C32"/>
    <w:rsid w:val="005B4260"/>
    <w:rsid w:val="005C49A1"/>
    <w:rsid w:val="005D11F6"/>
    <w:rsid w:val="005D165C"/>
    <w:rsid w:val="005D30E3"/>
    <w:rsid w:val="00601400"/>
    <w:rsid w:val="00607B23"/>
    <w:rsid w:val="0063163F"/>
    <w:rsid w:val="00641A6A"/>
    <w:rsid w:val="00647742"/>
    <w:rsid w:val="006537CA"/>
    <w:rsid w:val="00680357"/>
    <w:rsid w:val="006A0CCA"/>
    <w:rsid w:val="006A2FF3"/>
    <w:rsid w:val="006C00B6"/>
    <w:rsid w:val="006E6188"/>
    <w:rsid w:val="007114AB"/>
    <w:rsid w:val="007179DA"/>
    <w:rsid w:val="00717B9F"/>
    <w:rsid w:val="00721C72"/>
    <w:rsid w:val="007429FE"/>
    <w:rsid w:val="00752D1C"/>
    <w:rsid w:val="00753A71"/>
    <w:rsid w:val="00772D67"/>
    <w:rsid w:val="00773650"/>
    <w:rsid w:val="007927C7"/>
    <w:rsid w:val="007B4F19"/>
    <w:rsid w:val="007C07B1"/>
    <w:rsid w:val="007C23DB"/>
    <w:rsid w:val="007D0B92"/>
    <w:rsid w:val="007D274C"/>
    <w:rsid w:val="007F5BCB"/>
    <w:rsid w:val="00807C37"/>
    <w:rsid w:val="0084626B"/>
    <w:rsid w:val="00851992"/>
    <w:rsid w:val="008569E4"/>
    <w:rsid w:val="008610BE"/>
    <w:rsid w:val="008642DA"/>
    <w:rsid w:val="00867153"/>
    <w:rsid w:val="00872727"/>
    <w:rsid w:val="008A0E3D"/>
    <w:rsid w:val="008C1E41"/>
    <w:rsid w:val="008C38DD"/>
    <w:rsid w:val="008C43F7"/>
    <w:rsid w:val="008C78EA"/>
    <w:rsid w:val="008D3024"/>
    <w:rsid w:val="008E1CD2"/>
    <w:rsid w:val="008F2AC3"/>
    <w:rsid w:val="008F30BF"/>
    <w:rsid w:val="00901749"/>
    <w:rsid w:val="009045FC"/>
    <w:rsid w:val="00926BE2"/>
    <w:rsid w:val="0093457B"/>
    <w:rsid w:val="0094167E"/>
    <w:rsid w:val="00941794"/>
    <w:rsid w:val="0095247C"/>
    <w:rsid w:val="0096472F"/>
    <w:rsid w:val="009658F3"/>
    <w:rsid w:val="00970B27"/>
    <w:rsid w:val="00982C3E"/>
    <w:rsid w:val="009837FD"/>
    <w:rsid w:val="009A2850"/>
    <w:rsid w:val="009A6533"/>
    <w:rsid w:val="009A7EAE"/>
    <w:rsid w:val="009C55C4"/>
    <w:rsid w:val="009C5E2A"/>
    <w:rsid w:val="009D33CF"/>
    <w:rsid w:val="009D50D5"/>
    <w:rsid w:val="009D6869"/>
    <w:rsid w:val="009D793E"/>
    <w:rsid w:val="009E67B1"/>
    <w:rsid w:val="009E6FF8"/>
    <w:rsid w:val="009F5F40"/>
    <w:rsid w:val="00A02DD1"/>
    <w:rsid w:val="00A03657"/>
    <w:rsid w:val="00A06706"/>
    <w:rsid w:val="00A51520"/>
    <w:rsid w:val="00A729ED"/>
    <w:rsid w:val="00A97EA4"/>
    <w:rsid w:val="00AC1F2B"/>
    <w:rsid w:val="00AD2F1B"/>
    <w:rsid w:val="00AE43D6"/>
    <w:rsid w:val="00AE57F2"/>
    <w:rsid w:val="00AF5B9E"/>
    <w:rsid w:val="00B02AE3"/>
    <w:rsid w:val="00B14F93"/>
    <w:rsid w:val="00B16AC4"/>
    <w:rsid w:val="00B21DBB"/>
    <w:rsid w:val="00B2307C"/>
    <w:rsid w:val="00B2625D"/>
    <w:rsid w:val="00B43821"/>
    <w:rsid w:val="00B467B7"/>
    <w:rsid w:val="00B50D22"/>
    <w:rsid w:val="00B54C4F"/>
    <w:rsid w:val="00B63B9C"/>
    <w:rsid w:val="00B75F11"/>
    <w:rsid w:val="00B82FB6"/>
    <w:rsid w:val="00BA1A6B"/>
    <w:rsid w:val="00BA26FA"/>
    <w:rsid w:val="00BA6D29"/>
    <w:rsid w:val="00BD50B6"/>
    <w:rsid w:val="00BD7B14"/>
    <w:rsid w:val="00BD7F5A"/>
    <w:rsid w:val="00BE049B"/>
    <w:rsid w:val="00BE5509"/>
    <w:rsid w:val="00BF0880"/>
    <w:rsid w:val="00BF2DDF"/>
    <w:rsid w:val="00BF7779"/>
    <w:rsid w:val="00C01C13"/>
    <w:rsid w:val="00C4064C"/>
    <w:rsid w:val="00C52E56"/>
    <w:rsid w:val="00C564EF"/>
    <w:rsid w:val="00C56E4D"/>
    <w:rsid w:val="00C65497"/>
    <w:rsid w:val="00C74088"/>
    <w:rsid w:val="00CA44C9"/>
    <w:rsid w:val="00CB5A84"/>
    <w:rsid w:val="00CC4753"/>
    <w:rsid w:val="00CD70BF"/>
    <w:rsid w:val="00CE14C6"/>
    <w:rsid w:val="00CF3195"/>
    <w:rsid w:val="00CF7047"/>
    <w:rsid w:val="00D07C5A"/>
    <w:rsid w:val="00D24573"/>
    <w:rsid w:val="00D61CA0"/>
    <w:rsid w:val="00D64130"/>
    <w:rsid w:val="00D658E8"/>
    <w:rsid w:val="00D65B95"/>
    <w:rsid w:val="00D75E3A"/>
    <w:rsid w:val="00D85F3B"/>
    <w:rsid w:val="00D93FF9"/>
    <w:rsid w:val="00DC397C"/>
    <w:rsid w:val="00DC6BCB"/>
    <w:rsid w:val="00DD27CB"/>
    <w:rsid w:val="00DD29DE"/>
    <w:rsid w:val="00DE4DB3"/>
    <w:rsid w:val="00E03379"/>
    <w:rsid w:val="00E11317"/>
    <w:rsid w:val="00E140BA"/>
    <w:rsid w:val="00E243E2"/>
    <w:rsid w:val="00E25B8B"/>
    <w:rsid w:val="00E25CF7"/>
    <w:rsid w:val="00E26667"/>
    <w:rsid w:val="00E350DE"/>
    <w:rsid w:val="00E425CA"/>
    <w:rsid w:val="00E71548"/>
    <w:rsid w:val="00E71B8E"/>
    <w:rsid w:val="00E751D7"/>
    <w:rsid w:val="00E83569"/>
    <w:rsid w:val="00E85860"/>
    <w:rsid w:val="00EA0F5A"/>
    <w:rsid w:val="00EA3F4D"/>
    <w:rsid w:val="00EA4D6A"/>
    <w:rsid w:val="00EA5F2F"/>
    <w:rsid w:val="00EC2C58"/>
    <w:rsid w:val="00EC6683"/>
    <w:rsid w:val="00ED1075"/>
    <w:rsid w:val="00ED4607"/>
    <w:rsid w:val="00EF2605"/>
    <w:rsid w:val="00F0396A"/>
    <w:rsid w:val="00F24B09"/>
    <w:rsid w:val="00F30CAF"/>
    <w:rsid w:val="00F43C21"/>
    <w:rsid w:val="00F471C3"/>
    <w:rsid w:val="00F537F9"/>
    <w:rsid w:val="00F55247"/>
    <w:rsid w:val="00F71F89"/>
    <w:rsid w:val="00F77C19"/>
    <w:rsid w:val="00F84811"/>
    <w:rsid w:val="00F86871"/>
    <w:rsid w:val="00F91C99"/>
    <w:rsid w:val="00F97BAB"/>
    <w:rsid w:val="00FA4D2E"/>
    <w:rsid w:val="00FC5921"/>
    <w:rsid w:val="00FD6ABF"/>
    <w:rsid w:val="00FE76F2"/>
    <w:rsid w:val="021C321B"/>
    <w:rsid w:val="4924624A"/>
    <w:rsid w:val="6A6D6213"/>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link w:val="26"/>
    <w:qFormat/>
    <w:uiPriority w:val="9"/>
    <w:pPr>
      <w:keepNext/>
      <w:keepLines/>
      <w:spacing w:before="24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22"/>
    <w:qFormat/>
    <w:uiPriority w:val="0"/>
    <w:pPr>
      <w:keepNext/>
      <w:spacing w:before="240" w:after="60"/>
      <w:outlineLvl w:val="1"/>
    </w:pPr>
    <w:rPr>
      <w:rFonts w:ascii="Arial" w:hAnsi="Arial" w:cs="Arial"/>
      <w:b/>
      <w:bCs/>
      <w:i/>
      <w:iCs/>
      <w:sz w:val="28"/>
      <w:szCs w:val="28"/>
    </w:rPr>
  </w:style>
  <w:style w:type="paragraph" w:styleId="4">
    <w:name w:val="heading 3"/>
    <w:basedOn w:val="1"/>
    <w:next w:val="1"/>
    <w:link w:val="32"/>
    <w:semiHidden/>
    <w:unhideWhenUsed/>
    <w:qFormat/>
    <w:uiPriority w:val="9"/>
    <w:pPr>
      <w:keepNext/>
      <w:keepLines/>
      <w:spacing w:before="40"/>
      <w:outlineLvl w:val="2"/>
    </w:pPr>
    <w:rPr>
      <w:rFonts w:asciiTheme="majorHAnsi" w:hAnsiTheme="majorHAnsi" w:eastAsiaTheme="majorEastAsia" w:cstheme="majorBidi"/>
      <w:color w:val="203864" w:themeColor="accent1" w:themeShade="80"/>
    </w:rPr>
  </w:style>
  <w:style w:type="paragraph" w:styleId="5">
    <w:name w:val="heading 7"/>
    <w:basedOn w:val="1"/>
    <w:next w:val="1"/>
    <w:link w:val="19"/>
    <w:qFormat/>
    <w:uiPriority w:val="0"/>
    <w:pPr>
      <w:keepNext/>
      <w:spacing w:line="360" w:lineRule="auto"/>
      <w:outlineLvl w:val="6"/>
    </w:pPr>
    <w:rPr>
      <w:rFonts w:ascii="Garamond" w:hAnsi="Garamond" w:cs="Arial Unicode MS"/>
      <w:b/>
      <w:bCs/>
      <w:sz w:val="28"/>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caption"/>
    <w:basedOn w:val="1"/>
    <w:next w:val="1"/>
    <w:unhideWhenUsed/>
    <w:qFormat/>
    <w:uiPriority w:val="35"/>
    <w:pPr>
      <w:spacing w:after="200"/>
    </w:pPr>
    <w:rPr>
      <w:i/>
      <w:iCs/>
      <w:color w:val="44546A" w:themeColor="text2"/>
      <w:sz w:val="18"/>
      <w:szCs w:val="18"/>
      <w14:textFill>
        <w14:solidFill>
          <w14:schemeClr w14:val="tx2"/>
        </w14:solidFill>
      </w14:textFill>
    </w:rPr>
  </w:style>
  <w:style w:type="character" w:styleId="9">
    <w:name w:val="annotation reference"/>
    <w:basedOn w:val="6"/>
    <w:semiHidden/>
    <w:unhideWhenUsed/>
    <w:qFormat/>
    <w:uiPriority w:val="99"/>
    <w:rPr>
      <w:sz w:val="16"/>
      <w:szCs w:val="16"/>
    </w:rPr>
  </w:style>
  <w:style w:type="paragraph" w:styleId="10">
    <w:name w:val="annotation text"/>
    <w:basedOn w:val="1"/>
    <w:link w:val="29"/>
    <w:unhideWhenUsed/>
    <w:qFormat/>
    <w:uiPriority w:val="99"/>
    <w:rPr>
      <w:sz w:val="20"/>
      <w:szCs w:val="20"/>
    </w:rPr>
  </w:style>
  <w:style w:type="paragraph" w:styleId="11">
    <w:name w:val="annotation subject"/>
    <w:basedOn w:val="10"/>
    <w:next w:val="10"/>
    <w:link w:val="30"/>
    <w:semiHidden/>
    <w:unhideWhenUsed/>
    <w:qFormat/>
    <w:uiPriority w:val="99"/>
    <w:rPr>
      <w:b/>
      <w:bCs/>
    </w:rPr>
  </w:style>
  <w:style w:type="paragraph" w:styleId="12">
    <w:name w:val="footer"/>
    <w:basedOn w:val="1"/>
    <w:link w:val="28"/>
    <w:unhideWhenUsed/>
    <w:qFormat/>
    <w:uiPriority w:val="99"/>
    <w:pPr>
      <w:tabs>
        <w:tab w:val="center" w:pos="4680"/>
        <w:tab w:val="right" w:pos="9360"/>
      </w:tabs>
    </w:pPr>
  </w:style>
  <w:style w:type="paragraph" w:styleId="13">
    <w:name w:val="header"/>
    <w:basedOn w:val="1"/>
    <w:link w:val="27"/>
    <w:unhideWhenUsed/>
    <w:qFormat/>
    <w:uiPriority w:val="99"/>
    <w:pPr>
      <w:tabs>
        <w:tab w:val="center" w:pos="4680"/>
        <w:tab w:val="right" w:pos="9360"/>
      </w:tabs>
    </w:pPr>
  </w:style>
  <w:style w:type="character" w:styleId="14">
    <w:name w:val="Hyperlink"/>
    <w:basedOn w:val="6"/>
    <w:unhideWhenUsed/>
    <w:qFormat/>
    <w:uiPriority w:val="99"/>
    <w:rPr>
      <w:color w:val="0563C1" w:themeColor="hyperlink"/>
      <w:u w:val="single"/>
      <w14:textFill>
        <w14:solidFill>
          <w14:schemeClr w14:val="hlink"/>
        </w14:solidFill>
      </w14:textFill>
    </w:rPr>
  </w:style>
  <w:style w:type="paragraph" w:styleId="15">
    <w:name w:val="Normal (Web)"/>
    <w:basedOn w:val="1"/>
    <w:semiHidden/>
    <w:unhideWhenUsed/>
    <w:qFormat/>
    <w:uiPriority w:val="99"/>
  </w:style>
  <w:style w:type="character" w:styleId="16">
    <w:name w:val="page number"/>
    <w:basedOn w:val="6"/>
    <w:semiHidden/>
    <w:unhideWhenUsed/>
    <w:qFormat/>
    <w:uiPriority w:val="99"/>
  </w:style>
  <w:style w:type="character" w:styleId="17">
    <w:name w:val="Strong"/>
    <w:basedOn w:val="6"/>
    <w:qFormat/>
    <w:uiPriority w:val="22"/>
    <w:rPr>
      <w:b/>
      <w:bCs/>
    </w:rPr>
  </w:style>
  <w:style w:type="table" w:styleId="1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Heading 7 Char"/>
    <w:basedOn w:val="6"/>
    <w:link w:val="5"/>
    <w:qFormat/>
    <w:uiPriority w:val="0"/>
    <w:rPr>
      <w:rFonts w:ascii="Garamond" w:hAnsi="Garamond" w:eastAsia="Times New Roman" w:cs="Arial Unicode MS"/>
      <w:b/>
      <w:bCs/>
      <w:sz w:val="28"/>
    </w:rPr>
  </w:style>
  <w:style w:type="paragraph" w:styleId="20">
    <w:name w:val="List Paragraph"/>
    <w:basedOn w:val="1"/>
    <w:link w:val="21"/>
    <w:qFormat/>
    <w:uiPriority w:val="34"/>
    <w:pPr>
      <w:ind w:left="720"/>
    </w:pPr>
  </w:style>
  <w:style w:type="character" w:customStyle="1" w:styleId="21">
    <w:name w:val="List Paragraph Char"/>
    <w:link w:val="20"/>
    <w:qFormat/>
    <w:locked/>
    <w:uiPriority w:val="34"/>
    <w:rPr>
      <w:rFonts w:ascii="Times New Roman" w:hAnsi="Times New Roman" w:eastAsia="Times New Roman" w:cs="Times New Roman"/>
    </w:rPr>
  </w:style>
  <w:style w:type="character" w:customStyle="1" w:styleId="22">
    <w:name w:val="Heading 2 Char"/>
    <w:basedOn w:val="6"/>
    <w:link w:val="3"/>
    <w:uiPriority w:val="0"/>
    <w:rPr>
      <w:rFonts w:ascii="Arial" w:hAnsi="Arial" w:eastAsia="Times New Roman" w:cs="Arial"/>
      <w:b/>
      <w:bCs/>
      <w:i/>
      <w:iCs/>
      <w:sz w:val="28"/>
      <w:szCs w:val="28"/>
    </w:rPr>
  </w:style>
  <w:style w:type="paragraph" w:styleId="23">
    <w:name w:val="No Spacing"/>
    <w:link w:val="24"/>
    <w:qFormat/>
    <w:uiPriority w:val="1"/>
    <w:rPr>
      <w:rFonts w:ascii="Calibri" w:hAnsi="Calibri" w:eastAsia="Times New Roman" w:cs="Times New Roman"/>
      <w:sz w:val="22"/>
      <w:szCs w:val="22"/>
      <w:lang w:val="en-US" w:eastAsia="en-US" w:bidi="ar-SA"/>
    </w:rPr>
  </w:style>
  <w:style w:type="character" w:customStyle="1" w:styleId="24">
    <w:name w:val="No Spacing Char"/>
    <w:basedOn w:val="6"/>
    <w:link w:val="23"/>
    <w:qFormat/>
    <w:uiPriority w:val="1"/>
    <w:rPr>
      <w:rFonts w:ascii="Calibri" w:hAnsi="Calibri" w:eastAsia="Times New Roman" w:cs="Times New Roman"/>
      <w:sz w:val="22"/>
      <w:szCs w:val="22"/>
    </w:rPr>
  </w:style>
  <w:style w:type="paragraph" w:customStyle="1" w:styleId="25">
    <w:name w:val="Default"/>
    <w:qFormat/>
    <w:uiPriority w:val="0"/>
    <w:pPr>
      <w:autoSpaceDE w:val="0"/>
      <w:autoSpaceDN w:val="0"/>
      <w:adjustRightInd w:val="0"/>
    </w:pPr>
    <w:rPr>
      <w:rFonts w:ascii="Arial" w:hAnsi="Arial" w:eastAsia="Calibri" w:cs="Arial"/>
      <w:color w:val="000000"/>
      <w:sz w:val="24"/>
      <w:szCs w:val="24"/>
      <w:lang w:val="sw-KE" w:eastAsia="sw-KE" w:bidi="ar-SA"/>
    </w:rPr>
  </w:style>
  <w:style w:type="character" w:customStyle="1" w:styleId="26">
    <w:name w:val="Heading 1 Char"/>
    <w:basedOn w:val="6"/>
    <w:link w:val="2"/>
    <w:qFormat/>
    <w:uiPriority w:val="9"/>
    <w:rPr>
      <w:rFonts w:asciiTheme="majorHAnsi" w:hAnsiTheme="majorHAnsi" w:eastAsiaTheme="majorEastAsia" w:cstheme="majorBidi"/>
      <w:color w:val="2F5597" w:themeColor="accent1" w:themeShade="BF"/>
      <w:sz w:val="32"/>
      <w:szCs w:val="32"/>
    </w:rPr>
  </w:style>
  <w:style w:type="character" w:customStyle="1" w:styleId="27">
    <w:name w:val="Header Char"/>
    <w:basedOn w:val="6"/>
    <w:link w:val="13"/>
    <w:qFormat/>
    <w:uiPriority w:val="99"/>
    <w:rPr>
      <w:rFonts w:ascii="Times New Roman" w:hAnsi="Times New Roman" w:eastAsia="Times New Roman" w:cs="Times New Roman"/>
    </w:rPr>
  </w:style>
  <w:style w:type="character" w:customStyle="1" w:styleId="28">
    <w:name w:val="Footer Char"/>
    <w:basedOn w:val="6"/>
    <w:link w:val="12"/>
    <w:qFormat/>
    <w:uiPriority w:val="99"/>
    <w:rPr>
      <w:rFonts w:ascii="Times New Roman" w:hAnsi="Times New Roman" w:eastAsia="Times New Roman" w:cs="Times New Roman"/>
    </w:rPr>
  </w:style>
  <w:style w:type="character" w:customStyle="1" w:styleId="29">
    <w:name w:val="Comment Text Char"/>
    <w:basedOn w:val="6"/>
    <w:link w:val="10"/>
    <w:qFormat/>
    <w:uiPriority w:val="99"/>
    <w:rPr>
      <w:rFonts w:ascii="Times New Roman" w:hAnsi="Times New Roman" w:eastAsia="Times New Roman" w:cs="Times New Roman"/>
      <w:lang w:val="en-US" w:eastAsia="en-US"/>
    </w:rPr>
  </w:style>
  <w:style w:type="character" w:customStyle="1" w:styleId="30">
    <w:name w:val="Comment Subject Char"/>
    <w:basedOn w:val="29"/>
    <w:link w:val="11"/>
    <w:semiHidden/>
    <w:qFormat/>
    <w:uiPriority w:val="99"/>
    <w:rPr>
      <w:rFonts w:ascii="Times New Roman" w:hAnsi="Times New Roman" w:eastAsia="Times New Roman" w:cs="Times New Roman"/>
      <w:b/>
      <w:bCs/>
      <w:lang w:val="en-US" w:eastAsia="en-US"/>
    </w:rPr>
  </w:style>
  <w:style w:type="character" w:customStyle="1" w:styleId="31">
    <w:name w:val="Unresolved Mention"/>
    <w:basedOn w:val="6"/>
    <w:semiHidden/>
    <w:unhideWhenUsed/>
    <w:qFormat/>
    <w:uiPriority w:val="99"/>
    <w:rPr>
      <w:color w:val="605E5C"/>
      <w:shd w:val="clear" w:color="auto" w:fill="E1DFDD"/>
    </w:rPr>
  </w:style>
  <w:style w:type="character" w:customStyle="1" w:styleId="32">
    <w:name w:val="Heading 3 Char"/>
    <w:basedOn w:val="6"/>
    <w:link w:val="4"/>
    <w:semiHidden/>
    <w:qFormat/>
    <w:uiPriority w:val="9"/>
    <w:rPr>
      <w:rFonts w:asciiTheme="majorHAnsi" w:hAnsiTheme="majorHAnsi" w:eastAsiaTheme="majorEastAsia" w:cstheme="majorBidi"/>
      <w:color w:val="203864" w:themeColor="accent1" w:themeShade="80"/>
      <w:sz w:val="24"/>
      <w:szCs w:val="24"/>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em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2078</Words>
  <Characters>11850</Characters>
  <Lines>98</Lines>
  <Paragraphs>27</Paragraphs>
  <TotalTime>25</TotalTime>
  <ScaleCrop>false</ScaleCrop>
  <LinksUpToDate>false</LinksUpToDate>
  <CharactersWithSpaces>13901</CharactersWithSpaces>
  <Application>WPS Office_12.2.0.18911_F1E327BC-269C-435d-A152-05C5408002CA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2024-12-03T09:11:00Z</dcterms:created>
  <dc:creator>Microsoft Office User</dc:creator>
  <cp:lastModifiedBy>WPS_1675065709</cp:lastModifiedBy>
  <dcterms:modified xsi:type="dcterms:W3CDTF">2024-12-03T11:55:32Z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ADF6B0CDC53B46AA81E6D558E515976F_13</vt:lpwstr>
  </property>
</Properties>
</file>