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BAAF9" w14:textId="77777777" w:rsidR="00DA6B05" w:rsidRDefault="00DA6B05" w:rsidP="00DA6B05">
      <w:pPr>
        <w:rPr>
          <w:rFonts w:ascii="Arial" w:eastAsiaTheme="majorEastAsia" w:hAnsi="Arial" w:cs="Arial"/>
          <w:bCs/>
          <w:color w:val="404040" w:themeColor="text1" w:themeTint="BF"/>
          <w:spacing w:val="-10"/>
          <w:kern w:val="28"/>
          <w:sz w:val="56"/>
          <w:szCs w:val="56"/>
          <w:lang w:val="en-GB"/>
        </w:rPr>
      </w:pPr>
    </w:p>
    <w:p w14:paraId="5EAB0060" w14:textId="77777777" w:rsidR="00DA6B05" w:rsidRDefault="00DA6B05" w:rsidP="00DA6B05">
      <w:pPr>
        <w:jc w:val="center"/>
        <w:rPr>
          <w:rFonts w:ascii="Arial" w:eastAsiaTheme="majorEastAsia" w:hAnsi="Arial" w:cs="Arial"/>
          <w:bCs/>
          <w:color w:val="404040" w:themeColor="text1" w:themeTint="BF"/>
          <w:spacing w:val="-10"/>
          <w:kern w:val="28"/>
          <w:sz w:val="56"/>
          <w:szCs w:val="56"/>
          <w:lang w:val="en-GB"/>
        </w:rPr>
      </w:pPr>
      <w:r>
        <w:rPr>
          <w:rFonts w:ascii="Arial" w:eastAsiaTheme="majorEastAsia" w:hAnsi="Arial" w:cs="Arial"/>
          <w:bCs/>
          <w:color w:val="404040" w:themeColor="text1" w:themeTint="BF"/>
          <w:spacing w:val="-10"/>
          <w:kern w:val="28"/>
          <w:sz w:val="56"/>
          <w:szCs w:val="56"/>
          <w:lang w:val="en-GB"/>
        </w:rPr>
        <w:t>GIVING SIGHT TO SOWETO –</w:t>
      </w:r>
    </w:p>
    <w:p w14:paraId="613A4E9F" w14:textId="77777777" w:rsidR="00DA6B05" w:rsidRDefault="00DA6B05" w:rsidP="00DA6B05">
      <w:pPr>
        <w:jc w:val="center"/>
        <w:rPr>
          <w:rFonts w:ascii="Arial" w:eastAsiaTheme="majorEastAsia" w:hAnsi="Arial" w:cs="Arial"/>
          <w:bCs/>
          <w:color w:val="404040" w:themeColor="text1" w:themeTint="BF"/>
          <w:spacing w:val="-10"/>
          <w:kern w:val="28"/>
          <w:sz w:val="56"/>
          <w:szCs w:val="56"/>
          <w:lang w:val="en-GB"/>
        </w:rPr>
      </w:pPr>
      <w:r>
        <w:rPr>
          <w:rFonts w:ascii="Arial" w:eastAsiaTheme="majorEastAsia" w:hAnsi="Arial" w:cs="Arial"/>
          <w:bCs/>
          <w:color w:val="404040" w:themeColor="text1" w:themeTint="BF"/>
          <w:spacing w:val="-10"/>
          <w:kern w:val="28"/>
          <w:sz w:val="56"/>
          <w:szCs w:val="56"/>
          <w:lang w:val="en-GB"/>
        </w:rPr>
        <w:t>END OF PROJECT EVALUATION</w:t>
      </w:r>
    </w:p>
    <w:p w14:paraId="14E70B3F" w14:textId="77777777" w:rsidR="00DA6B05" w:rsidRDefault="00DA6B05" w:rsidP="00DA6B05">
      <w:pPr>
        <w:jc w:val="center"/>
        <w:rPr>
          <w:rFonts w:ascii="Arial" w:eastAsiaTheme="majorEastAsia" w:hAnsi="Arial" w:cs="Arial"/>
          <w:bCs/>
          <w:color w:val="404040" w:themeColor="text1" w:themeTint="BF"/>
          <w:spacing w:val="-10"/>
          <w:kern w:val="28"/>
          <w:sz w:val="56"/>
          <w:szCs w:val="56"/>
          <w:lang w:val="en-GB"/>
        </w:rPr>
      </w:pPr>
      <w:r>
        <w:rPr>
          <w:rFonts w:ascii="Arial" w:eastAsiaTheme="majorEastAsia" w:hAnsi="Arial" w:cs="Arial"/>
          <w:bCs/>
          <w:color w:val="404040" w:themeColor="text1" w:themeTint="BF"/>
          <w:spacing w:val="-10"/>
          <w:kern w:val="28"/>
          <w:sz w:val="56"/>
          <w:szCs w:val="56"/>
          <w:lang w:val="en-GB"/>
        </w:rPr>
        <w:t>SUMMARY OF KEY FINDINGS</w:t>
      </w:r>
    </w:p>
    <w:p w14:paraId="7EA72F6C" w14:textId="77777777" w:rsidR="00DA6B05" w:rsidRDefault="00DA6B05" w:rsidP="007773E2">
      <w:pPr>
        <w:pStyle w:val="Heading1"/>
        <w:spacing w:before="0"/>
      </w:pPr>
      <w:bookmarkStart w:id="0" w:name="_Toc473063528"/>
      <w:bookmarkStart w:id="1" w:name="_Toc483302543"/>
      <w:bookmarkStart w:id="2" w:name="_Toc504564110"/>
    </w:p>
    <w:p w14:paraId="6ED343A2" w14:textId="77777777" w:rsidR="007773E2" w:rsidRDefault="007773E2" w:rsidP="007773E2">
      <w:pPr>
        <w:pStyle w:val="Heading1"/>
        <w:spacing w:before="0"/>
      </w:pPr>
      <w:r w:rsidRPr="00572A08">
        <w:t>EXECUTIVE SUMMAR</w:t>
      </w:r>
      <w:bookmarkEnd w:id="0"/>
      <w:r>
        <w:t>Y</w:t>
      </w:r>
      <w:bookmarkEnd w:id="1"/>
      <w:bookmarkEnd w:id="2"/>
    </w:p>
    <w:p w14:paraId="39D6925E" w14:textId="77777777" w:rsidR="00866293" w:rsidRDefault="00866293" w:rsidP="00866293">
      <w:pPr>
        <w:spacing w:after="0" w:line="360" w:lineRule="auto"/>
        <w:jc w:val="both"/>
      </w:pPr>
      <w:r>
        <w:t>Brien Holden Vision Institute (BHVI) is a non-profit global scientific, research, innovation, education, licensing and public health organisation dedicated to providing creative and advanced solutions to ensure the provision of excellent vision for everyone, everywhere. The Institute's mission includes developing new solutions for vision care, especially refractive error and early disease detection, and to eliminate vision impairment and avoidable blindness, thereby raising the quality of life for all people, everywhere and helping to reduce disability and poverty for those in need. BHVI, South Africa implemented the project “</w:t>
      </w:r>
      <w:r w:rsidRPr="00D373D1">
        <w:t>GIVING SIGHT TO SOWETO</w:t>
      </w:r>
      <w:r>
        <w:t xml:space="preserve">” (GSS) supported by SEEING IS BELEIVING (SIB) program of the Standard Chartered Bank. </w:t>
      </w:r>
    </w:p>
    <w:p w14:paraId="77B9E501" w14:textId="77777777" w:rsidR="00866293" w:rsidRDefault="00866293" w:rsidP="00866293">
      <w:pPr>
        <w:spacing w:after="0" w:line="360" w:lineRule="auto"/>
        <w:jc w:val="both"/>
      </w:pPr>
    </w:p>
    <w:p w14:paraId="319354CB" w14:textId="77777777" w:rsidR="00866293" w:rsidRDefault="00866293" w:rsidP="00866293">
      <w:pPr>
        <w:spacing w:after="0" w:line="360" w:lineRule="auto"/>
        <w:jc w:val="both"/>
      </w:pPr>
      <w:r>
        <w:t xml:space="preserve">BHVI, South Africa implemented this project in collaboration with Provincial Department of Education-Gauteng and Provincial Department of Health-Gauteng between October 2012 &amp; </w:t>
      </w:r>
      <w:r w:rsidRPr="00A93B2F">
        <w:t>June 2017</w:t>
      </w:r>
      <w:r>
        <w:t xml:space="preserve">. The overall aim of the project was to </w:t>
      </w:r>
      <w:r w:rsidRPr="00A93B2F">
        <w:t xml:space="preserve">Improve and strengthen comprehensive eye health services in Soweto by </w:t>
      </w:r>
      <w:r>
        <w:t xml:space="preserve">integrating it </w:t>
      </w:r>
      <w:r w:rsidRPr="00A93B2F">
        <w:t>within the district health system</w:t>
      </w:r>
      <w:r>
        <w:t>.</w:t>
      </w:r>
    </w:p>
    <w:p w14:paraId="7C28CC47" w14:textId="77777777" w:rsidR="00866293" w:rsidRDefault="00866293" w:rsidP="00866293">
      <w:pPr>
        <w:spacing w:after="0" w:line="360" w:lineRule="auto"/>
        <w:jc w:val="both"/>
      </w:pPr>
    </w:p>
    <w:p w14:paraId="4431CC82" w14:textId="77777777" w:rsidR="00866293" w:rsidRDefault="00866293" w:rsidP="00866293">
      <w:pPr>
        <w:spacing w:after="0" w:line="360" w:lineRule="auto"/>
        <w:jc w:val="both"/>
      </w:pPr>
      <w:r>
        <w:t xml:space="preserve"> The Project objectives included:</w:t>
      </w:r>
    </w:p>
    <w:p w14:paraId="457F75DC" w14:textId="77777777" w:rsidR="00866293" w:rsidRDefault="00866293" w:rsidP="00866293">
      <w:pPr>
        <w:pStyle w:val="ListParagraph"/>
        <w:numPr>
          <w:ilvl w:val="0"/>
          <w:numId w:val="2"/>
        </w:numPr>
        <w:spacing w:after="0" w:line="360" w:lineRule="auto"/>
        <w:ind w:left="1077"/>
        <w:jc w:val="both"/>
      </w:pPr>
      <w:r>
        <w:t xml:space="preserve">Increase the capacity of existing health personnel, and placement of appropriate  human resources to improve eye health services within the DHS;  </w:t>
      </w:r>
    </w:p>
    <w:p w14:paraId="45D96292" w14:textId="77777777" w:rsidR="00866293" w:rsidRDefault="00866293" w:rsidP="00866293">
      <w:pPr>
        <w:pStyle w:val="ListParagraph"/>
        <w:numPr>
          <w:ilvl w:val="0"/>
          <w:numId w:val="2"/>
        </w:numPr>
        <w:spacing w:after="0" w:line="360" w:lineRule="auto"/>
        <w:ind w:left="1077"/>
        <w:jc w:val="both"/>
      </w:pPr>
      <w:r>
        <w:t>Optimize available infrastructure to deliver appropriate,  comprehensive and specialized eye health services  within the DHS;</w:t>
      </w:r>
    </w:p>
    <w:p w14:paraId="3FA75939" w14:textId="77777777" w:rsidR="00866293" w:rsidRDefault="00866293" w:rsidP="00866293">
      <w:pPr>
        <w:pStyle w:val="ListParagraph"/>
        <w:numPr>
          <w:ilvl w:val="0"/>
          <w:numId w:val="2"/>
        </w:numPr>
        <w:spacing w:after="0" w:line="360" w:lineRule="auto"/>
        <w:ind w:left="1077"/>
        <w:jc w:val="both"/>
      </w:pPr>
      <w:r>
        <w:t xml:space="preserve">Enhance screening and management of comprehensive eye health services  and refractive errors in particular; </w:t>
      </w:r>
    </w:p>
    <w:p w14:paraId="1216C5EA" w14:textId="77777777" w:rsidR="00866293" w:rsidRDefault="00866293" w:rsidP="00866293">
      <w:pPr>
        <w:pStyle w:val="ListParagraph"/>
        <w:numPr>
          <w:ilvl w:val="0"/>
          <w:numId w:val="2"/>
        </w:numPr>
        <w:spacing w:after="0" w:line="360" w:lineRule="auto"/>
        <w:ind w:left="1077"/>
        <w:jc w:val="both"/>
      </w:pPr>
      <w:r>
        <w:t>Strengthen referral systems and protocols;</w:t>
      </w:r>
    </w:p>
    <w:p w14:paraId="0EB34C32" w14:textId="77777777" w:rsidR="00866293" w:rsidRDefault="00866293" w:rsidP="00866293">
      <w:pPr>
        <w:pStyle w:val="ListParagraph"/>
        <w:numPr>
          <w:ilvl w:val="0"/>
          <w:numId w:val="2"/>
        </w:numPr>
        <w:spacing w:after="0" w:line="360" w:lineRule="auto"/>
        <w:ind w:left="1077"/>
        <w:jc w:val="both"/>
      </w:pPr>
      <w:r>
        <w:lastRenderedPageBreak/>
        <w:t xml:space="preserve">Strengthen the District Health Information System (DHIS) by including eye health indicators in the District Health Information System (DHIS); </w:t>
      </w:r>
    </w:p>
    <w:p w14:paraId="0F7ED7C2" w14:textId="77777777" w:rsidR="00866293" w:rsidRDefault="00866293" w:rsidP="00866293">
      <w:pPr>
        <w:pStyle w:val="ListParagraph"/>
        <w:numPr>
          <w:ilvl w:val="0"/>
          <w:numId w:val="2"/>
        </w:numPr>
        <w:spacing w:after="0" w:line="360" w:lineRule="auto"/>
        <w:ind w:left="1077"/>
        <w:jc w:val="both"/>
      </w:pPr>
      <w:r>
        <w:t>Increase health promotion and awareness about eye health.</w:t>
      </w:r>
    </w:p>
    <w:p w14:paraId="1027ECCB" w14:textId="77777777" w:rsidR="00866293" w:rsidRDefault="00866293" w:rsidP="00866293">
      <w:pPr>
        <w:spacing w:after="0" w:line="360" w:lineRule="auto"/>
        <w:jc w:val="both"/>
      </w:pPr>
    </w:p>
    <w:p w14:paraId="66B3EDE0" w14:textId="7E98D5EF" w:rsidR="00866293" w:rsidRDefault="00866293" w:rsidP="00866293">
      <w:pPr>
        <w:spacing w:after="0" w:line="360" w:lineRule="auto"/>
        <w:jc w:val="both"/>
      </w:pPr>
      <w:r w:rsidRPr="008F3CC7">
        <w:t xml:space="preserve">This project was implemented in Sub-Districts D1 and D2 in Soweto, which is in the City of Johannesburg in </w:t>
      </w:r>
      <w:r w:rsidR="006D5BD1">
        <w:t xml:space="preserve">the </w:t>
      </w:r>
      <w:r w:rsidRPr="008F3CC7">
        <w:t xml:space="preserve">Gauteng </w:t>
      </w:r>
      <w:r w:rsidR="006D5BD1">
        <w:t>P</w:t>
      </w:r>
      <w:r w:rsidRPr="008F3CC7">
        <w:t>rovince</w:t>
      </w:r>
      <w:r w:rsidR="006D5BD1">
        <w:t>.</w:t>
      </w:r>
      <w:r w:rsidRPr="008F3CC7">
        <w:t xml:space="preserve"> </w:t>
      </w:r>
      <w:r w:rsidR="006D5BD1">
        <w:t xml:space="preserve">The </w:t>
      </w:r>
      <w:r w:rsidRPr="008F3CC7">
        <w:t>Johannesburg metropolitan is the economic hub of South Africa</w:t>
      </w:r>
      <w:r>
        <w:t xml:space="preserve"> with a population of 3,701,534. </w:t>
      </w:r>
      <w:r w:rsidRPr="008F3CC7">
        <w:t>The sub-district</w:t>
      </w:r>
      <w:r w:rsidR="006D5BD1">
        <w:t>s</w:t>
      </w:r>
      <w:r w:rsidRPr="008F3CC7">
        <w:t xml:space="preserve"> ha</w:t>
      </w:r>
      <w:r w:rsidR="006D5BD1">
        <w:t>ve</w:t>
      </w:r>
      <w:r w:rsidRPr="008F3CC7">
        <w:t xml:space="preserve"> 1 quaternary hospital (Chris Hani Baragwanath Hospital), 23 satellite PHC clinics, 5 Community Health Centres (CHCs), and one specialized TB hospital.  </w:t>
      </w:r>
      <w:r>
        <w:t>Strengthening the South African Health System, particularly the two sub-districts, to deliver comprehensive eye care services was the foundation of this proposal.  Giving Sight in Soweto therefore set out to;</w:t>
      </w:r>
    </w:p>
    <w:p w14:paraId="1FB9AB2E" w14:textId="77777777" w:rsidR="00866293" w:rsidRDefault="00866293" w:rsidP="00866293">
      <w:pPr>
        <w:pStyle w:val="ListParagraph"/>
        <w:numPr>
          <w:ilvl w:val="0"/>
          <w:numId w:val="4"/>
        </w:numPr>
        <w:spacing w:after="0" w:line="360" w:lineRule="auto"/>
        <w:jc w:val="both"/>
      </w:pPr>
      <w:r>
        <w:t xml:space="preserve">Directly provide services to detect, diagnose and manage ocular conditions of three priority areas, i.e. refractive error, low vision and rehabilitation, and childhood blindness.  </w:t>
      </w:r>
    </w:p>
    <w:p w14:paraId="30E8C067" w14:textId="77777777" w:rsidR="00866293" w:rsidRDefault="00866293" w:rsidP="00866293">
      <w:pPr>
        <w:pStyle w:val="ListParagraph"/>
        <w:numPr>
          <w:ilvl w:val="0"/>
          <w:numId w:val="4"/>
        </w:numPr>
        <w:spacing w:after="0" w:line="360" w:lineRule="auto"/>
        <w:jc w:val="both"/>
      </w:pPr>
      <w:r>
        <w:t xml:space="preserve">Train Health care workers to act as case finders for blinding conditions such as cataract, diabetic retinopathy, hypertensive retinopathy and glaucoma.  </w:t>
      </w:r>
    </w:p>
    <w:p w14:paraId="6C2A0E33" w14:textId="77777777" w:rsidR="00866293" w:rsidRPr="00636D3A" w:rsidRDefault="00866293" w:rsidP="00866293">
      <w:pPr>
        <w:spacing w:after="0" w:line="360" w:lineRule="auto"/>
        <w:jc w:val="both"/>
        <w:rPr>
          <w:sz w:val="12"/>
        </w:rPr>
      </w:pPr>
    </w:p>
    <w:p w14:paraId="246FB21D" w14:textId="6C00A934" w:rsidR="00866293" w:rsidRDefault="00866293" w:rsidP="00866293">
      <w:pPr>
        <w:spacing w:after="0" w:line="360" w:lineRule="auto"/>
        <w:jc w:val="both"/>
      </w:pPr>
      <w:r>
        <w:t xml:space="preserve">The proposed evaluation was a mandatory final project evaluation to be conducted by an external evaluator who has had experience in such evaluations </w:t>
      </w:r>
      <w:r w:rsidR="006D5BD1">
        <w:t>with</w:t>
      </w:r>
      <w:r>
        <w:t xml:space="preserve">in the health and development sector and </w:t>
      </w:r>
      <w:r w:rsidR="006D5BD1">
        <w:t xml:space="preserve">in particular within the </w:t>
      </w:r>
      <w:r>
        <w:t>eye care</w:t>
      </w:r>
      <w:r w:rsidR="006D5BD1">
        <w:t xml:space="preserve"> sector</w:t>
      </w:r>
      <w:r>
        <w:t xml:space="preserve">. This was also included in the Project Cycle Management at the design of the project.  The overall objective of this evaluation </w:t>
      </w:r>
      <w:r w:rsidR="006D5BD1">
        <w:t xml:space="preserve">was </w:t>
      </w:r>
      <w:r>
        <w:t xml:space="preserve">to assess the extent to which the project goal, outcomes, objectives and outputs </w:t>
      </w:r>
      <w:r w:rsidR="006D5BD1">
        <w:t xml:space="preserve">had </w:t>
      </w:r>
      <w:r>
        <w:t xml:space="preserve">been met over the project duration </w:t>
      </w:r>
      <w:r w:rsidR="006D5BD1">
        <w:t>with</w:t>
      </w:r>
      <w:r>
        <w:t xml:space="preserve">in the project coverage area. </w:t>
      </w:r>
    </w:p>
    <w:p w14:paraId="6C10D87A" w14:textId="77777777" w:rsidR="00866293" w:rsidRPr="00636D3A" w:rsidRDefault="00866293" w:rsidP="00866293">
      <w:pPr>
        <w:spacing w:after="0" w:line="360" w:lineRule="auto"/>
        <w:jc w:val="both"/>
        <w:rPr>
          <w:sz w:val="12"/>
        </w:rPr>
      </w:pPr>
    </w:p>
    <w:p w14:paraId="5D4DA745" w14:textId="77777777" w:rsidR="00866293" w:rsidRPr="00FD03A4" w:rsidRDefault="00866293" w:rsidP="00866293">
      <w:pPr>
        <w:spacing w:after="0" w:line="360" w:lineRule="auto"/>
        <w:jc w:val="both"/>
        <w:rPr>
          <w:rFonts w:cstheme="minorHAnsi"/>
        </w:rPr>
      </w:pPr>
      <w:r w:rsidRPr="00FD03A4">
        <w:rPr>
          <w:rFonts w:cstheme="minorHAnsi"/>
        </w:rPr>
        <w:t>A participatory approach towards finding the facts of the key evaluation questions for the ‘</w:t>
      </w:r>
      <w:r>
        <w:rPr>
          <w:rFonts w:cstheme="minorHAnsi"/>
        </w:rPr>
        <w:t>Giving Sight to Soweto</w:t>
      </w:r>
      <w:r w:rsidRPr="00FD03A4">
        <w:rPr>
          <w:rFonts w:cstheme="minorHAnsi"/>
        </w:rPr>
        <w:t>’ project was undertaken between July 29</w:t>
      </w:r>
      <w:r w:rsidRPr="00FD03A4">
        <w:rPr>
          <w:rFonts w:cstheme="minorHAnsi"/>
          <w:vertAlign w:val="superscript"/>
        </w:rPr>
        <w:t>th</w:t>
      </w:r>
      <w:r w:rsidRPr="00FD03A4">
        <w:rPr>
          <w:rFonts w:cstheme="minorHAnsi"/>
        </w:rPr>
        <w:t xml:space="preserve"> and 5</w:t>
      </w:r>
      <w:r w:rsidRPr="00FD03A4">
        <w:rPr>
          <w:rFonts w:cstheme="minorHAnsi"/>
          <w:vertAlign w:val="superscript"/>
        </w:rPr>
        <w:t>th</w:t>
      </w:r>
      <w:r w:rsidRPr="00FD03A4">
        <w:rPr>
          <w:rFonts w:cstheme="minorHAnsi"/>
        </w:rPr>
        <w:t xml:space="preserve"> August 2017. The terms of reference developed by the implementing agency B</w:t>
      </w:r>
      <w:r>
        <w:rPr>
          <w:rFonts w:cstheme="minorHAnsi"/>
        </w:rPr>
        <w:t xml:space="preserve">rien </w:t>
      </w:r>
      <w:r w:rsidRPr="00FD03A4">
        <w:rPr>
          <w:rFonts w:cstheme="minorHAnsi"/>
        </w:rPr>
        <w:t>H</w:t>
      </w:r>
      <w:r>
        <w:rPr>
          <w:rFonts w:cstheme="minorHAnsi"/>
        </w:rPr>
        <w:t xml:space="preserve">olden </w:t>
      </w:r>
      <w:r w:rsidRPr="00FD03A4">
        <w:rPr>
          <w:rFonts w:cstheme="minorHAnsi"/>
        </w:rPr>
        <w:t>V</w:t>
      </w:r>
      <w:r>
        <w:rPr>
          <w:rFonts w:cstheme="minorHAnsi"/>
        </w:rPr>
        <w:t>ision Institute</w:t>
      </w:r>
      <w:r w:rsidRPr="00FD03A4">
        <w:rPr>
          <w:rFonts w:cstheme="minorHAnsi"/>
        </w:rPr>
        <w:t xml:space="preserve"> was reviewed </w:t>
      </w:r>
      <w:r w:rsidR="007278C1">
        <w:rPr>
          <w:rFonts w:cstheme="minorHAnsi"/>
        </w:rPr>
        <w:t xml:space="preserve">by the consultant </w:t>
      </w:r>
      <w:r w:rsidRPr="00FD03A4">
        <w:rPr>
          <w:rFonts w:cstheme="minorHAnsi"/>
        </w:rPr>
        <w:t xml:space="preserve">before agreeing on the visits and observation. </w:t>
      </w:r>
      <w:bookmarkStart w:id="3" w:name="_GoBack"/>
      <w:bookmarkEnd w:id="3"/>
    </w:p>
    <w:p w14:paraId="0716F217" w14:textId="77777777" w:rsidR="00866293" w:rsidRDefault="00866293" w:rsidP="00866293">
      <w:pPr>
        <w:spacing w:after="0" w:line="360" w:lineRule="auto"/>
        <w:jc w:val="both"/>
        <w:rPr>
          <w:rFonts w:cstheme="minorHAnsi"/>
        </w:rPr>
      </w:pPr>
    </w:p>
    <w:p w14:paraId="1651FEAD" w14:textId="706819B0" w:rsidR="00866293" w:rsidRDefault="00866293" w:rsidP="00866293">
      <w:pPr>
        <w:spacing w:after="0" w:line="360" w:lineRule="auto"/>
        <w:jc w:val="both"/>
        <w:rPr>
          <w:rFonts w:cstheme="minorHAnsi"/>
        </w:rPr>
      </w:pPr>
      <w:r w:rsidRPr="00FD03A4">
        <w:rPr>
          <w:rFonts w:cstheme="minorHAnsi"/>
        </w:rPr>
        <w:t>The methodology included:</w:t>
      </w:r>
      <w:r>
        <w:rPr>
          <w:rFonts w:cstheme="minorHAnsi"/>
        </w:rPr>
        <w:t xml:space="preserve"> Desk based review, field </w:t>
      </w:r>
      <w:r w:rsidR="007B2501">
        <w:rPr>
          <w:rFonts w:cstheme="minorHAnsi"/>
        </w:rPr>
        <w:t>visits,</w:t>
      </w:r>
      <w:r>
        <w:rPr>
          <w:rFonts w:cstheme="minorHAnsi"/>
        </w:rPr>
        <w:t xml:space="preserve"> stakeholder interviews and discussions and </w:t>
      </w:r>
      <w:r w:rsidR="006D5BD1">
        <w:rPr>
          <w:rFonts w:cstheme="minorHAnsi"/>
        </w:rPr>
        <w:t>documentation and</w:t>
      </w:r>
      <w:r>
        <w:rPr>
          <w:rFonts w:cstheme="minorHAnsi"/>
        </w:rPr>
        <w:t xml:space="preserve"> </w:t>
      </w:r>
      <w:r w:rsidR="007B2501">
        <w:rPr>
          <w:rFonts w:cstheme="minorHAnsi"/>
        </w:rPr>
        <w:t>debriefing</w:t>
      </w:r>
      <w:r>
        <w:rPr>
          <w:rFonts w:cstheme="minorHAnsi"/>
        </w:rPr>
        <w:t xml:space="preserve"> of the project implementation team.</w:t>
      </w:r>
    </w:p>
    <w:p w14:paraId="62A3EDAA" w14:textId="77777777" w:rsidR="00866293" w:rsidRDefault="00866293" w:rsidP="00866293">
      <w:pPr>
        <w:spacing w:after="0" w:line="360" w:lineRule="auto"/>
        <w:jc w:val="both"/>
      </w:pPr>
    </w:p>
    <w:p w14:paraId="45E18326" w14:textId="2D4E4667" w:rsidR="00866293" w:rsidRDefault="00FF24C6" w:rsidP="00866293">
      <w:pPr>
        <w:spacing w:after="0" w:line="360" w:lineRule="auto"/>
        <w:jc w:val="both"/>
      </w:pPr>
      <w:r>
        <w:t>T</w:t>
      </w:r>
      <w:r w:rsidR="00866293">
        <w:t xml:space="preserve">he </w:t>
      </w:r>
      <w:r>
        <w:t xml:space="preserve">results of the project </w:t>
      </w:r>
      <w:r w:rsidR="00866293">
        <w:t>review</w:t>
      </w:r>
      <w:r>
        <w:t xml:space="preserve"> illustrate</w:t>
      </w:r>
      <w:r w:rsidR="00866293">
        <w:t xml:space="preserve"> that the </w:t>
      </w:r>
      <w:r>
        <w:t>initiative:</w:t>
      </w:r>
    </w:p>
    <w:p w14:paraId="77713453" w14:textId="77777777" w:rsidR="00866293" w:rsidRDefault="00866293" w:rsidP="00866293">
      <w:pPr>
        <w:pStyle w:val="ListParagraph"/>
        <w:numPr>
          <w:ilvl w:val="2"/>
          <w:numId w:val="6"/>
        </w:numPr>
        <w:spacing w:after="0" w:line="360" w:lineRule="auto"/>
        <w:ind w:left="924" w:hanging="357"/>
        <w:jc w:val="both"/>
      </w:pPr>
      <w:r>
        <w:t>Is relevant to the population of the sub district</w:t>
      </w:r>
      <w:r w:rsidR="00FF24C6">
        <w:t>s</w:t>
      </w:r>
      <w:r>
        <w:t xml:space="preserve"> in terms of availability, affordability, accessibility and acceptability of appropriately needed eye health service.</w:t>
      </w:r>
    </w:p>
    <w:p w14:paraId="4CF14718" w14:textId="77777777" w:rsidR="00866293" w:rsidRDefault="00866293" w:rsidP="00866293">
      <w:pPr>
        <w:pStyle w:val="ListParagraph"/>
        <w:numPr>
          <w:ilvl w:val="2"/>
          <w:numId w:val="6"/>
        </w:numPr>
        <w:spacing w:after="0" w:line="360" w:lineRule="auto"/>
        <w:ind w:left="924" w:hanging="357"/>
        <w:jc w:val="both"/>
      </w:pPr>
      <w:r>
        <w:lastRenderedPageBreak/>
        <w:t>The numbers demonstrate that the project has adequately addressed the needs of secondary level eye care services including low vision and paediatric eye care services through trained and placed quality human resources.</w:t>
      </w:r>
    </w:p>
    <w:p w14:paraId="5F412FC5" w14:textId="77777777" w:rsidR="00866293" w:rsidRDefault="00866293" w:rsidP="00866293">
      <w:pPr>
        <w:pStyle w:val="ListParagraph"/>
        <w:numPr>
          <w:ilvl w:val="2"/>
          <w:numId w:val="6"/>
        </w:numPr>
        <w:spacing w:after="0" w:line="360" w:lineRule="auto"/>
        <w:ind w:left="924" w:hanging="357"/>
        <w:jc w:val="both"/>
      </w:pPr>
      <w:r>
        <w:t>The project has been very efficient in addressing the needs of beneficiaries by consultation and delivery of affordable correction in the form of spectacles.</w:t>
      </w:r>
    </w:p>
    <w:p w14:paraId="62D2806A" w14:textId="77777777" w:rsidR="00866293" w:rsidRDefault="00866293" w:rsidP="00866293">
      <w:pPr>
        <w:pStyle w:val="ListParagraph"/>
        <w:numPr>
          <w:ilvl w:val="2"/>
          <w:numId w:val="6"/>
        </w:numPr>
        <w:spacing w:after="0" w:line="360" w:lineRule="auto"/>
        <w:ind w:left="924" w:hanging="357"/>
        <w:jc w:val="both"/>
      </w:pPr>
      <w:r>
        <w:t>The project has also been effective in delivering of a much needed eye care service in the population it has catered to through a network.</w:t>
      </w:r>
    </w:p>
    <w:p w14:paraId="40955945" w14:textId="77777777" w:rsidR="00866293" w:rsidRDefault="00866293" w:rsidP="00866293">
      <w:pPr>
        <w:pStyle w:val="ListParagraph"/>
        <w:numPr>
          <w:ilvl w:val="2"/>
          <w:numId w:val="6"/>
        </w:numPr>
        <w:spacing w:after="0" w:line="360" w:lineRule="auto"/>
        <w:ind w:left="924" w:hanging="357"/>
        <w:jc w:val="both"/>
      </w:pPr>
      <w:r>
        <w:t>Steps to develop a sustainable model through facility development and up gradation and equipping, placement of quality trained staff, service delivery mechanism and a sound referral system has been achieved.</w:t>
      </w:r>
    </w:p>
    <w:p w14:paraId="3C8E8216" w14:textId="77777777" w:rsidR="00866293" w:rsidRDefault="00866293" w:rsidP="00866293">
      <w:pPr>
        <w:pStyle w:val="ListParagraph"/>
        <w:numPr>
          <w:ilvl w:val="2"/>
          <w:numId w:val="6"/>
        </w:numPr>
        <w:spacing w:after="0" w:line="360" w:lineRule="auto"/>
        <w:ind w:left="924" w:hanging="357"/>
        <w:jc w:val="both"/>
      </w:pPr>
      <w:r>
        <w:t>Advocacy to the district and provincial authorities and formalization of a policy and plan in consultation with the National authorities and other key stakeholders is due soon.</w:t>
      </w:r>
    </w:p>
    <w:p w14:paraId="42214D8D" w14:textId="3A6AD246" w:rsidR="00866293" w:rsidRDefault="00866293" w:rsidP="00866293">
      <w:pPr>
        <w:pStyle w:val="ListParagraph"/>
        <w:numPr>
          <w:ilvl w:val="2"/>
          <w:numId w:val="6"/>
        </w:numPr>
        <w:spacing w:after="0" w:line="360" w:lineRule="auto"/>
        <w:ind w:left="924" w:hanging="357"/>
        <w:jc w:val="both"/>
      </w:pPr>
      <w:r>
        <w:t xml:space="preserve">An area of concern is DHIS which hinders the component of policy and program development </w:t>
      </w:r>
      <w:r w:rsidR="00FF24C6">
        <w:t xml:space="preserve">as well as </w:t>
      </w:r>
      <w:r>
        <w:t xml:space="preserve">evidence based planning and needs to be </w:t>
      </w:r>
      <w:r w:rsidR="00FF24C6">
        <w:t xml:space="preserve">urgently addressed. </w:t>
      </w:r>
    </w:p>
    <w:p w14:paraId="12A8DF9C" w14:textId="77777777" w:rsidR="00866293" w:rsidRPr="00636D3A" w:rsidRDefault="00866293" w:rsidP="00866293">
      <w:pPr>
        <w:spacing w:after="0" w:line="360" w:lineRule="auto"/>
        <w:jc w:val="both"/>
        <w:rPr>
          <w:sz w:val="10"/>
        </w:rPr>
      </w:pPr>
    </w:p>
    <w:p w14:paraId="73971ECA" w14:textId="77777777" w:rsidR="00866293" w:rsidRDefault="00866293" w:rsidP="00866293">
      <w:pPr>
        <w:spacing w:after="0" w:line="360" w:lineRule="auto"/>
        <w:jc w:val="both"/>
      </w:pPr>
      <w:r>
        <w:t>The project has all the ingredients to be scaled up as well as to be transplanted to another sub- district depending on the contextual analysis.</w:t>
      </w:r>
    </w:p>
    <w:p w14:paraId="0785114A" w14:textId="77777777" w:rsidR="00866293" w:rsidRDefault="00866293" w:rsidP="00866293">
      <w:pPr>
        <w:spacing w:after="0" w:line="360" w:lineRule="auto"/>
        <w:jc w:val="both"/>
      </w:pPr>
    </w:p>
    <w:p w14:paraId="16F4F88F" w14:textId="77777777" w:rsidR="00866293" w:rsidRDefault="00866293" w:rsidP="00866293">
      <w:pPr>
        <w:spacing w:after="0" w:line="360" w:lineRule="auto"/>
        <w:jc w:val="both"/>
        <w:rPr>
          <w:rFonts w:asciiTheme="majorHAnsi" w:eastAsiaTheme="majorEastAsia" w:hAnsiTheme="majorHAnsi" w:cstheme="majorBidi"/>
          <w:b/>
          <w:bCs/>
          <w:color w:val="365F91" w:themeColor="accent1" w:themeShade="BF"/>
          <w:sz w:val="28"/>
          <w:szCs w:val="28"/>
        </w:rPr>
      </w:pPr>
      <w:r>
        <w:t xml:space="preserve">Efforts should be made to communicate and disseminate this project and learning internationally through publications and meetings/conferences. </w:t>
      </w:r>
    </w:p>
    <w:sectPr w:rsidR="00866293" w:rsidSect="000511FA">
      <w:footerReference w:type="default" r:id="rId9"/>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F13A7" w14:textId="77777777" w:rsidR="00F27E21" w:rsidRDefault="00F27E21">
      <w:pPr>
        <w:spacing w:after="0" w:line="240" w:lineRule="auto"/>
      </w:pPr>
      <w:r>
        <w:separator/>
      </w:r>
    </w:p>
  </w:endnote>
  <w:endnote w:type="continuationSeparator" w:id="0">
    <w:p w14:paraId="39874D7B" w14:textId="77777777" w:rsidR="00F27E21" w:rsidRDefault="00F2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34468"/>
      <w:docPartObj>
        <w:docPartGallery w:val="Page Numbers (Bottom of Page)"/>
        <w:docPartUnique/>
      </w:docPartObj>
    </w:sdtPr>
    <w:sdtEndPr>
      <w:rPr>
        <w:noProof/>
      </w:rPr>
    </w:sdtEndPr>
    <w:sdtContent>
      <w:p w14:paraId="3E7FE43A" w14:textId="77777777" w:rsidR="00211407" w:rsidRDefault="00211407">
        <w:pPr>
          <w:pStyle w:val="Footer"/>
          <w:jc w:val="right"/>
        </w:pPr>
        <w:r>
          <w:fldChar w:fldCharType="begin"/>
        </w:r>
        <w:r>
          <w:instrText xml:space="preserve"> PAGE   \* MERGEFORMAT </w:instrText>
        </w:r>
        <w:r>
          <w:fldChar w:fldCharType="separate"/>
        </w:r>
        <w:r w:rsidR="00636D3A">
          <w:rPr>
            <w:noProof/>
          </w:rPr>
          <w:t>3</w:t>
        </w:r>
        <w:r>
          <w:rPr>
            <w:noProof/>
          </w:rPr>
          <w:fldChar w:fldCharType="end"/>
        </w:r>
      </w:p>
    </w:sdtContent>
  </w:sdt>
  <w:p w14:paraId="4B635325" w14:textId="77777777" w:rsidR="00211407" w:rsidRDefault="00211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E54E2" w14:textId="77777777" w:rsidR="00F27E21" w:rsidRDefault="00F27E21">
      <w:pPr>
        <w:spacing w:after="0" w:line="240" w:lineRule="auto"/>
      </w:pPr>
      <w:r>
        <w:separator/>
      </w:r>
    </w:p>
  </w:footnote>
  <w:footnote w:type="continuationSeparator" w:id="0">
    <w:p w14:paraId="247418AE" w14:textId="77777777" w:rsidR="00F27E21" w:rsidRDefault="00F27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25FC" w14:textId="77777777" w:rsidR="00DA6B05" w:rsidRDefault="00DA6B05" w:rsidP="00DA6B05">
    <w:pPr>
      <w:pStyle w:val="Header"/>
      <w:tabs>
        <w:tab w:val="left" w:pos="8670"/>
      </w:tabs>
    </w:pPr>
    <w:r w:rsidRPr="008F6394">
      <w:rPr>
        <w:noProof/>
        <w:lang w:val="en-US"/>
      </w:rPr>
      <w:drawing>
        <wp:anchor distT="0" distB="0" distL="114300" distR="114300" simplePos="0" relativeHeight="251655168" behindDoc="1" locked="0" layoutInCell="1" allowOverlap="1" wp14:anchorId="44F7C4C0" wp14:editId="7043D097">
          <wp:simplePos x="0" y="0"/>
          <wp:positionH relativeFrom="column">
            <wp:posOffset>-485775</wp:posOffset>
          </wp:positionH>
          <wp:positionV relativeFrom="paragraph">
            <wp:posOffset>-229235</wp:posOffset>
          </wp:positionV>
          <wp:extent cx="2109470" cy="619125"/>
          <wp:effectExtent l="0" t="0" r="5080" b="9525"/>
          <wp:wrapTight wrapText="bothSides">
            <wp:wrapPolygon edited="0">
              <wp:start x="0" y="0"/>
              <wp:lineTo x="0" y="21268"/>
              <wp:lineTo x="21457" y="21268"/>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10947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1" locked="0" layoutInCell="1" allowOverlap="1" wp14:anchorId="74A61EB3" wp14:editId="23F49DF5">
          <wp:simplePos x="0" y="0"/>
          <wp:positionH relativeFrom="column">
            <wp:posOffset>1762125</wp:posOffset>
          </wp:positionH>
          <wp:positionV relativeFrom="paragraph">
            <wp:posOffset>-158115</wp:posOffset>
          </wp:positionV>
          <wp:extent cx="1628775" cy="532130"/>
          <wp:effectExtent l="0" t="0" r="9525" b="1270"/>
          <wp:wrapTight wrapText="bothSides">
            <wp:wrapPolygon edited="0">
              <wp:start x="0" y="0"/>
              <wp:lineTo x="0" y="20878"/>
              <wp:lineTo x="21474" y="20878"/>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532130"/>
                  </a:xfrm>
                  <a:prstGeom prst="rect">
                    <a:avLst/>
                  </a:prstGeom>
                  <a:noFill/>
                </pic:spPr>
              </pic:pic>
            </a:graphicData>
          </a:graphic>
          <wp14:sizeRelH relativeFrom="page">
            <wp14:pctWidth>0</wp14:pctWidth>
          </wp14:sizeRelH>
          <wp14:sizeRelV relativeFrom="page">
            <wp14:pctHeight>0</wp14:pctHeight>
          </wp14:sizeRelV>
        </wp:anchor>
      </w:drawing>
    </w:r>
    <w:r w:rsidRPr="008F6394">
      <w:rPr>
        <w:noProof/>
        <w:lang w:val="en-US"/>
      </w:rPr>
      <w:drawing>
        <wp:anchor distT="0" distB="0" distL="114300" distR="114300" simplePos="0" relativeHeight="251658240" behindDoc="1" locked="0" layoutInCell="1" allowOverlap="1" wp14:anchorId="7A5C8D40" wp14:editId="4BA3DADE">
          <wp:simplePos x="0" y="0"/>
          <wp:positionH relativeFrom="column">
            <wp:posOffset>3629025</wp:posOffset>
          </wp:positionH>
          <wp:positionV relativeFrom="paragraph">
            <wp:posOffset>-106680</wp:posOffset>
          </wp:positionV>
          <wp:extent cx="1019175" cy="400050"/>
          <wp:effectExtent l="0" t="0" r="9525" b="0"/>
          <wp:wrapTight wrapText="bothSides">
            <wp:wrapPolygon edited="0">
              <wp:start x="0" y="0"/>
              <wp:lineTo x="0" y="20571"/>
              <wp:lineTo x="21398" y="20571"/>
              <wp:lineTo x="21398" y="0"/>
              <wp:lineTo x="0" y="0"/>
            </wp:wrapPolygon>
          </wp:wrapTight>
          <wp:docPr id="7" name="Picture 1" descr="SCB_0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01_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anchor>
      </w:drawing>
    </w:r>
    <w:r>
      <w:rPr>
        <w:noProof/>
        <w:lang w:val="en-US"/>
      </w:rPr>
      <w:drawing>
        <wp:anchor distT="0" distB="0" distL="114300" distR="114300" simplePos="0" relativeHeight="251660288" behindDoc="1" locked="0" layoutInCell="1" allowOverlap="1" wp14:anchorId="681051FC" wp14:editId="55261A7F">
          <wp:simplePos x="0" y="0"/>
          <wp:positionH relativeFrom="column">
            <wp:posOffset>4867275</wp:posOffset>
          </wp:positionH>
          <wp:positionV relativeFrom="paragraph">
            <wp:posOffset>-306705</wp:posOffset>
          </wp:positionV>
          <wp:extent cx="1190625" cy="676275"/>
          <wp:effectExtent l="0" t="0" r="9525" b="9525"/>
          <wp:wrapTight wrapText="bothSides">
            <wp:wrapPolygon edited="0">
              <wp:start x="0" y="0"/>
              <wp:lineTo x="0" y="21296"/>
              <wp:lineTo x="21427" y="21296"/>
              <wp:lineTo x="21427" y="0"/>
              <wp:lineTo x="0" y="0"/>
            </wp:wrapPolygon>
          </wp:wrapTight>
          <wp:docPr id="8" name="Picture 3" descr="C:\Users\Lisa\AppData\Local\Microsoft\Windows\Temporary Internet Files\Content.Outlook\3UAFO4BZ\S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Outlook\3UAFO4BZ\SIB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a:ln>
                    <a:noFill/>
                  </a:ln>
                </pic:spPr>
              </pic:pic>
            </a:graphicData>
          </a:graphic>
        </wp:anchor>
      </w:drawing>
    </w:r>
    <w:r>
      <w:tab/>
    </w:r>
    <w:r>
      <w:tab/>
    </w:r>
    <w:r>
      <w:tab/>
    </w:r>
  </w:p>
  <w:p w14:paraId="1181EE52" w14:textId="77777777" w:rsidR="00DA6B05" w:rsidRDefault="00DA6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6665"/>
    <w:multiLevelType w:val="hybridMultilevel"/>
    <w:tmpl w:val="1D709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4C558D"/>
    <w:multiLevelType w:val="hybridMultilevel"/>
    <w:tmpl w:val="86505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086646"/>
    <w:multiLevelType w:val="hybridMultilevel"/>
    <w:tmpl w:val="B25E6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82672"/>
    <w:multiLevelType w:val="hybridMultilevel"/>
    <w:tmpl w:val="37703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EE3F53"/>
    <w:multiLevelType w:val="hybridMultilevel"/>
    <w:tmpl w:val="6F84906A"/>
    <w:lvl w:ilvl="0" w:tplc="CE3445D0">
      <w:start w:val="1"/>
      <w:numFmt w:val="decimal"/>
      <w:lvlText w:val="%1."/>
      <w:lvlJc w:val="left"/>
      <w:pPr>
        <w:ind w:left="360" w:hanging="360"/>
      </w:pPr>
      <w:rPr>
        <w:rFonts w:eastAsiaTheme="minorEastAsia" w:hint="default"/>
        <w:color w:val="000000" w:themeColor="text1"/>
      </w:rPr>
    </w:lvl>
    <w:lvl w:ilvl="1" w:tplc="0409001B">
      <w:start w:val="1"/>
      <w:numFmt w:val="lowerRoman"/>
      <w:lvlText w:val="%2."/>
      <w:lvlJc w:val="right"/>
      <w:pPr>
        <w:ind w:left="1080" w:hanging="360"/>
      </w:pPr>
      <w:rPr>
        <w:b w:val="0"/>
      </w:rPr>
    </w:lvl>
    <w:lvl w:ilvl="2" w:tplc="CB8A1B52">
      <w:start w:val="1"/>
      <w:numFmt w:val="lowerLetter"/>
      <w:lvlText w:val="%3."/>
      <w:lvlJc w:val="left"/>
      <w:pPr>
        <w:ind w:left="1980" w:hanging="360"/>
      </w:pPr>
      <w:rPr>
        <w:rFonts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118F54EC"/>
    <w:multiLevelType w:val="hybridMultilevel"/>
    <w:tmpl w:val="F3AEFC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9A45626"/>
    <w:multiLevelType w:val="hybridMultilevel"/>
    <w:tmpl w:val="4B3A79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9475108"/>
    <w:multiLevelType w:val="hybridMultilevel"/>
    <w:tmpl w:val="C24C8C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2D280BDA"/>
    <w:multiLevelType w:val="hybridMultilevel"/>
    <w:tmpl w:val="64CC852E"/>
    <w:lvl w:ilvl="0" w:tplc="71D8E0DE">
      <w:start w:val="6"/>
      <w:numFmt w:val="bullet"/>
      <w:lvlText w:val="•"/>
      <w:lvlJc w:val="left"/>
      <w:pPr>
        <w:ind w:left="1080" w:hanging="72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FD6FBD"/>
    <w:multiLevelType w:val="hybridMultilevel"/>
    <w:tmpl w:val="E7B00B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2FB32110"/>
    <w:multiLevelType w:val="hybridMultilevel"/>
    <w:tmpl w:val="537640DE"/>
    <w:lvl w:ilvl="0" w:tplc="40090001">
      <w:start w:val="1"/>
      <w:numFmt w:val="bullet"/>
      <w:lvlText w:val=""/>
      <w:lvlJc w:val="left"/>
      <w:pPr>
        <w:ind w:left="6480" w:hanging="360"/>
      </w:pPr>
      <w:rPr>
        <w:rFonts w:ascii="Symbol" w:hAnsi="Symbol" w:hint="default"/>
      </w:rPr>
    </w:lvl>
    <w:lvl w:ilvl="1" w:tplc="40090003" w:tentative="1">
      <w:start w:val="1"/>
      <w:numFmt w:val="bullet"/>
      <w:lvlText w:val="o"/>
      <w:lvlJc w:val="left"/>
      <w:pPr>
        <w:ind w:left="7200" w:hanging="360"/>
      </w:pPr>
      <w:rPr>
        <w:rFonts w:ascii="Courier New" w:hAnsi="Courier New" w:hint="default"/>
      </w:rPr>
    </w:lvl>
    <w:lvl w:ilvl="2" w:tplc="40090005" w:tentative="1">
      <w:start w:val="1"/>
      <w:numFmt w:val="bullet"/>
      <w:lvlText w:val=""/>
      <w:lvlJc w:val="left"/>
      <w:pPr>
        <w:ind w:left="7920" w:hanging="360"/>
      </w:pPr>
      <w:rPr>
        <w:rFonts w:ascii="Wingdings" w:hAnsi="Wingdings" w:hint="default"/>
      </w:rPr>
    </w:lvl>
    <w:lvl w:ilvl="3" w:tplc="40090001" w:tentative="1">
      <w:start w:val="1"/>
      <w:numFmt w:val="bullet"/>
      <w:lvlText w:val=""/>
      <w:lvlJc w:val="left"/>
      <w:pPr>
        <w:ind w:left="8640" w:hanging="360"/>
      </w:pPr>
      <w:rPr>
        <w:rFonts w:ascii="Symbol" w:hAnsi="Symbol" w:hint="default"/>
      </w:rPr>
    </w:lvl>
    <w:lvl w:ilvl="4" w:tplc="40090003" w:tentative="1">
      <w:start w:val="1"/>
      <w:numFmt w:val="bullet"/>
      <w:lvlText w:val="o"/>
      <w:lvlJc w:val="left"/>
      <w:pPr>
        <w:ind w:left="9360" w:hanging="360"/>
      </w:pPr>
      <w:rPr>
        <w:rFonts w:ascii="Courier New" w:hAnsi="Courier New" w:hint="default"/>
      </w:rPr>
    </w:lvl>
    <w:lvl w:ilvl="5" w:tplc="40090005" w:tentative="1">
      <w:start w:val="1"/>
      <w:numFmt w:val="bullet"/>
      <w:lvlText w:val=""/>
      <w:lvlJc w:val="left"/>
      <w:pPr>
        <w:ind w:left="10080" w:hanging="360"/>
      </w:pPr>
      <w:rPr>
        <w:rFonts w:ascii="Wingdings" w:hAnsi="Wingdings" w:hint="default"/>
      </w:rPr>
    </w:lvl>
    <w:lvl w:ilvl="6" w:tplc="40090001" w:tentative="1">
      <w:start w:val="1"/>
      <w:numFmt w:val="bullet"/>
      <w:lvlText w:val=""/>
      <w:lvlJc w:val="left"/>
      <w:pPr>
        <w:ind w:left="10800" w:hanging="360"/>
      </w:pPr>
      <w:rPr>
        <w:rFonts w:ascii="Symbol" w:hAnsi="Symbol" w:hint="default"/>
      </w:rPr>
    </w:lvl>
    <w:lvl w:ilvl="7" w:tplc="40090003" w:tentative="1">
      <w:start w:val="1"/>
      <w:numFmt w:val="bullet"/>
      <w:lvlText w:val="o"/>
      <w:lvlJc w:val="left"/>
      <w:pPr>
        <w:ind w:left="11520" w:hanging="360"/>
      </w:pPr>
      <w:rPr>
        <w:rFonts w:ascii="Courier New" w:hAnsi="Courier New" w:hint="default"/>
      </w:rPr>
    </w:lvl>
    <w:lvl w:ilvl="8" w:tplc="40090005" w:tentative="1">
      <w:start w:val="1"/>
      <w:numFmt w:val="bullet"/>
      <w:lvlText w:val=""/>
      <w:lvlJc w:val="left"/>
      <w:pPr>
        <w:ind w:left="12240" w:hanging="360"/>
      </w:pPr>
      <w:rPr>
        <w:rFonts w:ascii="Wingdings" w:hAnsi="Wingdings" w:hint="default"/>
      </w:rPr>
    </w:lvl>
  </w:abstractNum>
  <w:abstractNum w:abstractNumId="11">
    <w:nsid w:val="34A548F1"/>
    <w:multiLevelType w:val="hybridMultilevel"/>
    <w:tmpl w:val="FF6EC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B712AAD"/>
    <w:multiLevelType w:val="hybridMultilevel"/>
    <w:tmpl w:val="AC106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481798"/>
    <w:multiLevelType w:val="hybridMultilevel"/>
    <w:tmpl w:val="A17CBE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419B1AF3"/>
    <w:multiLevelType w:val="hybridMultilevel"/>
    <w:tmpl w:val="2E142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BA2DA4"/>
    <w:multiLevelType w:val="hybridMultilevel"/>
    <w:tmpl w:val="5726B774"/>
    <w:lvl w:ilvl="0" w:tplc="0409001B">
      <w:start w:val="1"/>
      <w:numFmt w:val="lowerRoman"/>
      <w:lvlText w:val="%1."/>
      <w:lvlJc w:val="right"/>
      <w:pPr>
        <w:ind w:left="10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542244"/>
    <w:multiLevelType w:val="hybridMultilevel"/>
    <w:tmpl w:val="6C0808C4"/>
    <w:lvl w:ilvl="0" w:tplc="CB8A1B52">
      <w:start w:val="1"/>
      <w:numFmt w:val="lowerLetter"/>
      <w:lvlText w:val="%1."/>
      <w:lvlJc w:val="left"/>
      <w:pPr>
        <w:ind w:left="10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7">
    <w:nsid w:val="49952B94"/>
    <w:multiLevelType w:val="hybridMultilevel"/>
    <w:tmpl w:val="F88CD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18B053F"/>
    <w:multiLevelType w:val="hybridMultilevel"/>
    <w:tmpl w:val="9A1C9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48B1B17"/>
    <w:multiLevelType w:val="hybridMultilevel"/>
    <w:tmpl w:val="BF801550"/>
    <w:lvl w:ilvl="0" w:tplc="71D8E0DE">
      <w:start w:val="6"/>
      <w:numFmt w:val="bullet"/>
      <w:lvlText w:val="•"/>
      <w:lvlJc w:val="left"/>
      <w:pPr>
        <w:ind w:left="1080" w:hanging="72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A262393"/>
    <w:multiLevelType w:val="hybridMultilevel"/>
    <w:tmpl w:val="10F60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B63416F"/>
    <w:multiLevelType w:val="hybridMultilevel"/>
    <w:tmpl w:val="03343C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D8219BF"/>
    <w:multiLevelType w:val="hybridMultilevel"/>
    <w:tmpl w:val="EA6231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604A3F33"/>
    <w:multiLevelType w:val="hybridMultilevel"/>
    <w:tmpl w:val="90160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14A324B"/>
    <w:multiLevelType w:val="hybridMultilevel"/>
    <w:tmpl w:val="5DF88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FDF00C2"/>
    <w:multiLevelType w:val="hybridMultilevel"/>
    <w:tmpl w:val="800260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73E56061"/>
    <w:multiLevelType w:val="hybridMultilevel"/>
    <w:tmpl w:val="76949920"/>
    <w:lvl w:ilvl="0" w:tplc="CE3445D0">
      <w:start w:val="1"/>
      <w:numFmt w:val="decimal"/>
      <w:lvlText w:val="%1."/>
      <w:lvlJc w:val="left"/>
      <w:pPr>
        <w:ind w:left="360" w:hanging="360"/>
      </w:pPr>
      <w:rPr>
        <w:rFonts w:eastAsiaTheme="minorEastAsi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5A63A2A"/>
    <w:multiLevelType w:val="hybridMultilevel"/>
    <w:tmpl w:val="465CB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68362AB"/>
    <w:multiLevelType w:val="hybridMultilevel"/>
    <w:tmpl w:val="F31860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8B910FE"/>
    <w:multiLevelType w:val="hybridMultilevel"/>
    <w:tmpl w:val="DB364848"/>
    <w:lvl w:ilvl="0" w:tplc="4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3013EC"/>
    <w:multiLevelType w:val="hybridMultilevel"/>
    <w:tmpl w:val="103C2950"/>
    <w:lvl w:ilvl="0" w:tplc="0409001B">
      <w:start w:val="1"/>
      <w:numFmt w:val="lowerRoman"/>
      <w:lvlText w:val="%1."/>
      <w:lvlJc w:val="right"/>
      <w:pPr>
        <w:ind w:left="1080" w:hanging="360"/>
      </w:pPr>
      <w:rPr>
        <w:b w:val="0"/>
      </w:rPr>
    </w:lvl>
    <w:lvl w:ilvl="1" w:tplc="43DA6570">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C745461"/>
    <w:multiLevelType w:val="hybridMultilevel"/>
    <w:tmpl w:val="C9D2FA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7E600A1D"/>
    <w:multiLevelType w:val="hybridMultilevel"/>
    <w:tmpl w:val="5A34FF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F9A0578"/>
    <w:multiLevelType w:val="hybridMultilevel"/>
    <w:tmpl w:val="E48441CA"/>
    <w:lvl w:ilvl="0" w:tplc="EE1678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33"/>
  </w:num>
  <w:num w:numId="3">
    <w:abstractNumId w:val="0"/>
  </w:num>
  <w:num w:numId="4">
    <w:abstractNumId w:val="8"/>
  </w:num>
  <w:num w:numId="5">
    <w:abstractNumId w:val="19"/>
  </w:num>
  <w:num w:numId="6">
    <w:abstractNumId w:val="4"/>
  </w:num>
  <w:num w:numId="7">
    <w:abstractNumId w:val="31"/>
  </w:num>
  <w:num w:numId="8">
    <w:abstractNumId w:val="9"/>
  </w:num>
  <w:num w:numId="9">
    <w:abstractNumId w:val="21"/>
  </w:num>
  <w:num w:numId="10">
    <w:abstractNumId w:val="25"/>
  </w:num>
  <w:num w:numId="11">
    <w:abstractNumId w:val="22"/>
  </w:num>
  <w:num w:numId="12">
    <w:abstractNumId w:val="13"/>
  </w:num>
  <w:num w:numId="13">
    <w:abstractNumId w:val="5"/>
  </w:num>
  <w:num w:numId="14">
    <w:abstractNumId w:val="28"/>
  </w:num>
  <w:num w:numId="15">
    <w:abstractNumId w:val="7"/>
  </w:num>
  <w:num w:numId="16">
    <w:abstractNumId w:val="6"/>
  </w:num>
  <w:num w:numId="17">
    <w:abstractNumId w:val="29"/>
  </w:num>
  <w:num w:numId="18">
    <w:abstractNumId w:val="2"/>
  </w:num>
  <w:num w:numId="19">
    <w:abstractNumId w:val="20"/>
  </w:num>
  <w:num w:numId="20">
    <w:abstractNumId w:val="23"/>
  </w:num>
  <w:num w:numId="21">
    <w:abstractNumId w:val="3"/>
  </w:num>
  <w:num w:numId="22">
    <w:abstractNumId w:val="17"/>
  </w:num>
  <w:num w:numId="23">
    <w:abstractNumId w:val="32"/>
  </w:num>
  <w:num w:numId="24">
    <w:abstractNumId w:val="11"/>
  </w:num>
  <w:num w:numId="25">
    <w:abstractNumId w:val="12"/>
  </w:num>
  <w:num w:numId="26">
    <w:abstractNumId w:val="27"/>
  </w:num>
  <w:num w:numId="27">
    <w:abstractNumId w:val="18"/>
  </w:num>
  <w:num w:numId="28">
    <w:abstractNumId w:val="24"/>
  </w:num>
  <w:num w:numId="29">
    <w:abstractNumId w:val="1"/>
  </w:num>
  <w:num w:numId="30">
    <w:abstractNumId w:val="26"/>
  </w:num>
  <w:num w:numId="31">
    <w:abstractNumId w:val="30"/>
  </w:num>
  <w:num w:numId="32">
    <w:abstractNumId w:val="15"/>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FA"/>
    <w:rsid w:val="00017E79"/>
    <w:rsid w:val="000215CD"/>
    <w:rsid w:val="000510EA"/>
    <w:rsid w:val="000511FA"/>
    <w:rsid w:val="000737B8"/>
    <w:rsid w:val="0009143F"/>
    <w:rsid w:val="000F5407"/>
    <w:rsid w:val="00135EFA"/>
    <w:rsid w:val="00165720"/>
    <w:rsid w:val="001C2823"/>
    <w:rsid w:val="001E068B"/>
    <w:rsid w:val="00211407"/>
    <w:rsid w:val="00211600"/>
    <w:rsid w:val="0022587D"/>
    <w:rsid w:val="0024053E"/>
    <w:rsid w:val="00257409"/>
    <w:rsid w:val="002669B4"/>
    <w:rsid w:val="00277054"/>
    <w:rsid w:val="00290C47"/>
    <w:rsid w:val="00313CFA"/>
    <w:rsid w:val="003168B6"/>
    <w:rsid w:val="0031750D"/>
    <w:rsid w:val="003521EC"/>
    <w:rsid w:val="00385F0D"/>
    <w:rsid w:val="003A6FC6"/>
    <w:rsid w:val="003B393B"/>
    <w:rsid w:val="00414F3F"/>
    <w:rsid w:val="0042026A"/>
    <w:rsid w:val="0043338E"/>
    <w:rsid w:val="004365C4"/>
    <w:rsid w:val="00454B31"/>
    <w:rsid w:val="004F2D58"/>
    <w:rsid w:val="004F502A"/>
    <w:rsid w:val="00505DC1"/>
    <w:rsid w:val="00551629"/>
    <w:rsid w:val="00565713"/>
    <w:rsid w:val="00573114"/>
    <w:rsid w:val="005A796A"/>
    <w:rsid w:val="005C0CCB"/>
    <w:rsid w:val="005C3179"/>
    <w:rsid w:val="005C4DEA"/>
    <w:rsid w:val="00621301"/>
    <w:rsid w:val="00636D3A"/>
    <w:rsid w:val="00644EEB"/>
    <w:rsid w:val="00645A1F"/>
    <w:rsid w:val="00654DF5"/>
    <w:rsid w:val="006C6F7E"/>
    <w:rsid w:val="006D5BD1"/>
    <w:rsid w:val="006E6283"/>
    <w:rsid w:val="006F05F6"/>
    <w:rsid w:val="007278C1"/>
    <w:rsid w:val="00733C31"/>
    <w:rsid w:val="007703A8"/>
    <w:rsid w:val="007773E2"/>
    <w:rsid w:val="0078416D"/>
    <w:rsid w:val="007B2501"/>
    <w:rsid w:val="007C2868"/>
    <w:rsid w:val="007C5920"/>
    <w:rsid w:val="007D7A64"/>
    <w:rsid w:val="007F1BC0"/>
    <w:rsid w:val="00815844"/>
    <w:rsid w:val="00821756"/>
    <w:rsid w:val="0083427E"/>
    <w:rsid w:val="00866293"/>
    <w:rsid w:val="00887C2B"/>
    <w:rsid w:val="008A4601"/>
    <w:rsid w:val="008F3CC7"/>
    <w:rsid w:val="00910792"/>
    <w:rsid w:val="00933B16"/>
    <w:rsid w:val="00953E32"/>
    <w:rsid w:val="00961480"/>
    <w:rsid w:val="0097433D"/>
    <w:rsid w:val="009800DD"/>
    <w:rsid w:val="00987B09"/>
    <w:rsid w:val="009A7489"/>
    <w:rsid w:val="009F2250"/>
    <w:rsid w:val="009F3473"/>
    <w:rsid w:val="009F4DF6"/>
    <w:rsid w:val="009F4F55"/>
    <w:rsid w:val="00A05A5E"/>
    <w:rsid w:val="00A079B0"/>
    <w:rsid w:val="00A33B18"/>
    <w:rsid w:val="00A40A28"/>
    <w:rsid w:val="00A6790D"/>
    <w:rsid w:val="00A93B2F"/>
    <w:rsid w:val="00A9402E"/>
    <w:rsid w:val="00A97731"/>
    <w:rsid w:val="00AA4322"/>
    <w:rsid w:val="00AD5417"/>
    <w:rsid w:val="00B063BE"/>
    <w:rsid w:val="00B13568"/>
    <w:rsid w:val="00B55E76"/>
    <w:rsid w:val="00B61657"/>
    <w:rsid w:val="00C213FA"/>
    <w:rsid w:val="00C407E9"/>
    <w:rsid w:val="00C4318B"/>
    <w:rsid w:val="00C43F9A"/>
    <w:rsid w:val="00C86D42"/>
    <w:rsid w:val="00C90B32"/>
    <w:rsid w:val="00CB0340"/>
    <w:rsid w:val="00D36F9F"/>
    <w:rsid w:val="00D373D1"/>
    <w:rsid w:val="00D40C3D"/>
    <w:rsid w:val="00D447A9"/>
    <w:rsid w:val="00D72A86"/>
    <w:rsid w:val="00D9569F"/>
    <w:rsid w:val="00DA6B05"/>
    <w:rsid w:val="00DB69E8"/>
    <w:rsid w:val="00DC7F0D"/>
    <w:rsid w:val="00E11B18"/>
    <w:rsid w:val="00E55F15"/>
    <w:rsid w:val="00E7768F"/>
    <w:rsid w:val="00EE215A"/>
    <w:rsid w:val="00EF030E"/>
    <w:rsid w:val="00F27E21"/>
    <w:rsid w:val="00F54100"/>
    <w:rsid w:val="00F70EB1"/>
    <w:rsid w:val="00F864A9"/>
    <w:rsid w:val="00F90D1E"/>
    <w:rsid w:val="00FB12C9"/>
    <w:rsid w:val="00FD03A4"/>
    <w:rsid w:val="00FD5E9B"/>
    <w:rsid w:val="00FF24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57EDB"/>
  <w15:docId w15:val="{D4FF9608-8C8D-4C0D-89EA-A5A3C7DC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407"/>
  </w:style>
  <w:style w:type="paragraph" w:styleId="Heading1">
    <w:name w:val="heading 1"/>
    <w:basedOn w:val="Normal"/>
    <w:next w:val="Normal"/>
    <w:link w:val="Heading1Char"/>
    <w:uiPriority w:val="9"/>
    <w:qFormat/>
    <w:rsid w:val="000F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5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54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540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540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54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54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54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F54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4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F5407"/>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0F54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40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0F5407"/>
    <w:pPr>
      <w:spacing w:after="0" w:line="240" w:lineRule="auto"/>
    </w:pPr>
  </w:style>
  <w:style w:type="character" w:customStyle="1" w:styleId="NoSpacingChar">
    <w:name w:val="No Spacing Char"/>
    <w:basedOn w:val="DefaultParagraphFont"/>
    <w:link w:val="NoSpacing"/>
    <w:uiPriority w:val="1"/>
    <w:rsid w:val="00135EFA"/>
  </w:style>
  <w:style w:type="character" w:customStyle="1" w:styleId="Heading1Char">
    <w:name w:val="Heading 1 Char"/>
    <w:basedOn w:val="DefaultParagraphFont"/>
    <w:link w:val="Heading1"/>
    <w:uiPriority w:val="9"/>
    <w:rsid w:val="000F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F5407"/>
    <w:pPr>
      <w:outlineLvl w:val="9"/>
    </w:pPr>
  </w:style>
  <w:style w:type="character" w:customStyle="1" w:styleId="Heading2Char">
    <w:name w:val="Heading 2 Char"/>
    <w:basedOn w:val="DefaultParagraphFont"/>
    <w:link w:val="Heading2"/>
    <w:uiPriority w:val="9"/>
    <w:semiHidden/>
    <w:rsid w:val="000F54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54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540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540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540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54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540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F540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F5407"/>
    <w:pPr>
      <w:spacing w:line="240" w:lineRule="auto"/>
    </w:pPr>
    <w:rPr>
      <w:b/>
      <w:bCs/>
      <w:color w:val="4F81BD" w:themeColor="accent1"/>
      <w:sz w:val="18"/>
      <w:szCs w:val="18"/>
    </w:rPr>
  </w:style>
  <w:style w:type="character" w:styleId="Strong">
    <w:name w:val="Strong"/>
    <w:basedOn w:val="DefaultParagraphFont"/>
    <w:uiPriority w:val="22"/>
    <w:qFormat/>
    <w:rsid w:val="000F5407"/>
    <w:rPr>
      <w:b/>
      <w:bCs/>
    </w:rPr>
  </w:style>
  <w:style w:type="character" w:styleId="Emphasis">
    <w:name w:val="Emphasis"/>
    <w:basedOn w:val="DefaultParagraphFont"/>
    <w:uiPriority w:val="20"/>
    <w:qFormat/>
    <w:rsid w:val="000F5407"/>
    <w:rPr>
      <w:i/>
      <w:iCs/>
    </w:rPr>
  </w:style>
  <w:style w:type="paragraph" w:styleId="Quote">
    <w:name w:val="Quote"/>
    <w:basedOn w:val="Normal"/>
    <w:next w:val="Normal"/>
    <w:link w:val="QuoteChar"/>
    <w:uiPriority w:val="29"/>
    <w:qFormat/>
    <w:rsid w:val="000F5407"/>
    <w:rPr>
      <w:i/>
      <w:iCs/>
      <w:color w:val="000000" w:themeColor="text1"/>
    </w:rPr>
  </w:style>
  <w:style w:type="character" w:customStyle="1" w:styleId="QuoteChar">
    <w:name w:val="Quote Char"/>
    <w:basedOn w:val="DefaultParagraphFont"/>
    <w:link w:val="Quote"/>
    <w:uiPriority w:val="29"/>
    <w:rsid w:val="000F5407"/>
    <w:rPr>
      <w:i/>
      <w:iCs/>
      <w:color w:val="000000" w:themeColor="text1"/>
    </w:rPr>
  </w:style>
  <w:style w:type="paragraph" w:styleId="IntenseQuote">
    <w:name w:val="Intense Quote"/>
    <w:basedOn w:val="Normal"/>
    <w:next w:val="Normal"/>
    <w:link w:val="IntenseQuoteChar"/>
    <w:uiPriority w:val="30"/>
    <w:qFormat/>
    <w:rsid w:val="000F54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F5407"/>
    <w:rPr>
      <w:b/>
      <w:bCs/>
      <w:i/>
      <w:iCs/>
      <w:color w:val="4F81BD" w:themeColor="accent1"/>
    </w:rPr>
  </w:style>
  <w:style w:type="character" w:styleId="SubtleEmphasis">
    <w:name w:val="Subtle Emphasis"/>
    <w:basedOn w:val="DefaultParagraphFont"/>
    <w:uiPriority w:val="19"/>
    <w:qFormat/>
    <w:rsid w:val="000F5407"/>
    <w:rPr>
      <w:i/>
      <w:iCs/>
      <w:color w:val="808080" w:themeColor="text1" w:themeTint="7F"/>
    </w:rPr>
  </w:style>
  <w:style w:type="character" w:styleId="IntenseEmphasis">
    <w:name w:val="Intense Emphasis"/>
    <w:basedOn w:val="DefaultParagraphFont"/>
    <w:uiPriority w:val="21"/>
    <w:qFormat/>
    <w:rsid w:val="000F5407"/>
    <w:rPr>
      <w:b/>
      <w:bCs/>
      <w:i/>
      <w:iCs/>
      <w:color w:val="4F81BD" w:themeColor="accent1"/>
    </w:rPr>
  </w:style>
  <w:style w:type="character" w:styleId="SubtleReference">
    <w:name w:val="Subtle Reference"/>
    <w:basedOn w:val="DefaultParagraphFont"/>
    <w:uiPriority w:val="31"/>
    <w:qFormat/>
    <w:rsid w:val="000F5407"/>
    <w:rPr>
      <w:smallCaps/>
      <w:color w:val="C0504D" w:themeColor="accent2"/>
      <w:u w:val="single"/>
    </w:rPr>
  </w:style>
  <w:style w:type="character" w:styleId="IntenseReference">
    <w:name w:val="Intense Reference"/>
    <w:basedOn w:val="DefaultParagraphFont"/>
    <w:uiPriority w:val="32"/>
    <w:qFormat/>
    <w:rsid w:val="000F5407"/>
    <w:rPr>
      <w:b/>
      <w:bCs/>
      <w:smallCaps/>
      <w:color w:val="C0504D" w:themeColor="accent2"/>
      <w:spacing w:val="5"/>
      <w:u w:val="single"/>
    </w:rPr>
  </w:style>
  <w:style w:type="character" w:styleId="BookTitle">
    <w:name w:val="Book Title"/>
    <w:basedOn w:val="DefaultParagraphFont"/>
    <w:uiPriority w:val="33"/>
    <w:qFormat/>
    <w:rsid w:val="000F5407"/>
    <w:rPr>
      <w:b/>
      <w:bCs/>
      <w:smallCaps/>
      <w:spacing w:val="5"/>
    </w:rPr>
  </w:style>
  <w:style w:type="paragraph" w:styleId="TOC1">
    <w:name w:val="toc 1"/>
    <w:basedOn w:val="Normal"/>
    <w:next w:val="Normal"/>
    <w:autoRedefine/>
    <w:uiPriority w:val="39"/>
    <w:unhideWhenUsed/>
    <w:rsid w:val="000F5407"/>
    <w:pPr>
      <w:spacing w:after="100"/>
    </w:pPr>
  </w:style>
  <w:style w:type="character" w:styleId="Hyperlink">
    <w:name w:val="Hyperlink"/>
    <w:basedOn w:val="DefaultParagraphFont"/>
    <w:uiPriority w:val="99"/>
    <w:unhideWhenUsed/>
    <w:rsid w:val="000F5407"/>
    <w:rPr>
      <w:color w:val="0000FF" w:themeColor="hyperlink"/>
      <w:u w:val="single"/>
    </w:rPr>
  </w:style>
  <w:style w:type="paragraph" w:styleId="TOC2">
    <w:name w:val="toc 2"/>
    <w:basedOn w:val="Normal"/>
    <w:next w:val="Normal"/>
    <w:autoRedefine/>
    <w:uiPriority w:val="39"/>
    <w:unhideWhenUsed/>
    <w:rsid w:val="007773E2"/>
    <w:pPr>
      <w:spacing w:after="100"/>
      <w:ind w:left="220"/>
    </w:pPr>
  </w:style>
  <w:style w:type="paragraph" w:styleId="ListParagraph">
    <w:name w:val="List Paragraph"/>
    <w:basedOn w:val="Normal"/>
    <w:uiPriority w:val="34"/>
    <w:qFormat/>
    <w:rsid w:val="00A93B2F"/>
    <w:pPr>
      <w:ind w:left="720"/>
      <w:contextualSpacing/>
    </w:pPr>
  </w:style>
  <w:style w:type="character" w:styleId="CommentReference">
    <w:name w:val="annotation reference"/>
    <w:basedOn w:val="DefaultParagraphFont"/>
    <w:uiPriority w:val="99"/>
    <w:semiHidden/>
    <w:unhideWhenUsed/>
    <w:rsid w:val="00C86D42"/>
    <w:rPr>
      <w:sz w:val="16"/>
      <w:szCs w:val="16"/>
    </w:rPr>
  </w:style>
  <w:style w:type="paragraph" w:styleId="CommentText">
    <w:name w:val="annotation text"/>
    <w:basedOn w:val="Normal"/>
    <w:link w:val="CommentTextChar"/>
    <w:uiPriority w:val="99"/>
    <w:semiHidden/>
    <w:unhideWhenUsed/>
    <w:rsid w:val="00C86D42"/>
    <w:pPr>
      <w:spacing w:line="240" w:lineRule="auto"/>
    </w:pPr>
    <w:rPr>
      <w:sz w:val="20"/>
      <w:szCs w:val="20"/>
    </w:rPr>
  </w:style>
  <w:style w:type="character" w:customStyle="1" w:styleId="CommentTextChar">
    <w:name w:val="Comment Text Char"/>
    <w:basedOn w:val="DefaultParagraphFont"/>
    <w:link w:val="CommentText"/>
    <w:uiPriority w:val="99"/>
    <w:semiHidden/>
    <w:rsid w:val="00C86D42"/>
    <w:rPr>
      <w:sz w:val="20"/>
      <w:szCs w:val="20"/>
    </w:rPr>
  </w:style>
  <w:style w:type="paragraph" w:styleId="CommentSubject">
    <w:name w:val="annotation subject"/>
    <w:basedOn w:val="CommentText"/>
    <w:next w:val="CommentText"/>
    <w:link w:val="CommentSubjectChar"/>
    <w:uiPriority w:val="99"/>
    <w:semiHidden/>
    <w:unhideWhenUsed/>
    <w:rsid w:val="00C86D42"/>
    <w:rPr>
      <w:b/>
      <w:bCs/>
    </w:rPr>
  </w:style>
  <w:style w:type="character" w:customStyle="1" w:styleId="CommentSubjectChar">
    <w:name w:val="Comment Subject Char"/>
    <w:basedOn w:val="CommentTextChar"/>
    <w:link w:val="CommentSubject"/>
    <w:uiPriority w:val="99"/>
    <w:semiHidden/>
    <w:rsid w:val="00C86D42"/>
    <w:rPr>
      <w:b/>
      <w:bCs/>
      <w:sz w:val="20"/>
      <w:szCs w:val="20"/>
    </w:rPr>
  </w:style>
  <w:style w:type="paragraph" w:styleId="BalloonText">
    <w:name w:val="Balloon Text"/>
    <w:basedOn w:val="Normal"/>
    <w:link w:val="BalloonTextChar"/>
    <w:uiPriority w:val="99"/>
    <w:semiHidden/>
    <w:unhideWhenUsed/>
    <w:rsid w:val="00C86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2"/>
    <w:rPr>
      <w:rFonts w:ascii="Segoe UI" w:hAnsi="Segoe UI" w:cs="Segoe UI"/>
      <w:sz w:val="18"/>
      <w:szCs w:val="18"/>
    </w:rPr>
  </w:style>
  <w:style w:type="table" w:styleId="TableGrid">
    <w:name w:val="Table Grid"/>
    <w:basedOn w:val="TableNormal"/>
    <w:uiPriority w:val="39"/>
    <w:rsid w:val="00961480"/>
    <w:pPr>
      <w:spacing w:after="0" w:line="240" w:lineRule="auto"/>
      <w:jc w:val="both"/>
    </w:pPr>
    <w:rPr>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1480"/>
    <w:pPr>
      <w:autoSpaceDE w:val="0"/>
      <w:autoSpaceDN w:val="0"/>
      <w:adjustRightInd w:val="0"/>
      <w:spacing w:after="0" w:line="240" w:lineRule="auto"/>
      <w:jc w:val="both"/>
    </w:pPr>
    <w:rPr>
      <w:rFonts w:ascii="Arial Black" w:eastAsia="Times New Roman" w:hAnsi="Arial Black" w:cs="Arial Black"/>
      <w:color w:val="000000"/>
      <w:sz w:val="24"/>
      <w:szCs w:val="24"/>
      <w:lang w:val="en-US" w:eastAsia="en-AU" w:bidi="en-US"/>
    </w:rPr>
  </w:style>
  <w:style w:type="paragraph" w:styleId="Header">
    <w:name w:val="header"/>
    <w:basedOn w:val="Normal"/>
    <w:link w:val="HeaderChar"/>
    <w:uiPriority w:val="99"/>
    <w:unhideWhenUsed/>
    <w:rsid w:val="00565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713"/>
  </w:style>
  <w:style w:type="paragraph" w:styleId="Footer">
    <w:name w:val="footer"/>
    <w:basedOn w:val="Normal"/>
    <w:link w:val="FooterChar"/>
    <w:uiPriority w:val="99"/>
    <w:unhideWhenUsed/>
    <w:rsid w:val="00565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97593">
      <w:bodyDiv w:val="1"/>
      <w:marLeft w:val="0"/>
      <w:marRight w:val="0"/>
      <w:marTop w:val="0"/>
      <w:marBottom w:val="0"/>
      <w:divBdr>
        <w:top w:val="none" w:sz="0" w:space="0" w:color="auto"/>
        <w:left w:val="none" w:sz="0" w:space="0" w:color="auto"/>
        <w:bottom w:val="none" w:sz="0" w:space="0" w:color="auto"/>
        <w:right w:val="none" w:sz="0" w:space="0" w:color="auto"/>
      </w:divBdr>
      <w:divsChild>
        <w:div w:id="1259480069">
          <w:marLeft w:val="0"/>
          <w:marRight w:val="0"/>
          <w:marTop w:val="0"/>
          <w:marBottom w:val="0"/>
          <w:divBdr>
            <w:top w:val="none" w:sz="0" w:space="0" w:color="auto"/>
            <w:left w:val="none" w:sz="0" w:space="0" w:color="auto"/>
            <w:bottom w:val="none" w:sz="0" w:space="0" w:color="auto"/>
            <w:right w:val="none" w:sz="0" w:space="0" w:color="auto"/>
          </w:divBdr>
          <w:divsChild>
            <w:div w:id="1680278176">
              <w:marLeft w:val="0"/>
              <w:marRight w:val="0"/>
              <w:marTop w:val="0"/>
              <w:marBottom w:val="0"/>
              <w:divBdr>
                <w:top w:val="none" w:sz="0" w:space="0" w:color="auto"/>
                <w:left w:val="none" w:sz="0" w:space="0" w:color="auto"/>
                <w:bottom w:val="none" w:sz="0" w:space="0" w:color="auto"/>
                <w:right w:val="none" w:sz="0" w:space="0" w:color="auto"/>
              </w:divBdr>
            </w:div>
          </w:divsChild>
        </w:div>
        <w:div w:id="1830906262">
          <w:marLeft w:val="0"/>
          <w:marRight w:val="0"/>
          <w:marTop w:val="0"/>
          <w:marBottom w:val="0"/>
          <w:divBdr>
            <w:top w:val="none" w:sz="0" w:space="0" w:color="auto"/>
            <w:left w:val="none" w:sz="0" w:space="0" w:color="auto"/>
            <w:bottom w:val="none" w:sz="0" w:space="0" w:color="auto"/>
            <w:right w:val="none" w:sz="0" w:space="0" w:color="auto"/>
          </w:divBdr>
        </w:div>
        <w:div w:id="1234243703">
          <w:marLeft w:val="0"/>
          <w:marRight w:val="0"/>
          <w:marTop w:val="0"/>
          <w:marBottom w:val="0"/>
          <w:divBdr>
            <w:top w:val="none" w:sz="0" w:space="0" w:color="auto"/>
            <w:left w:val="none" w:sz="0" w:space="0" w:color="auto"/>
            <w:bottom w:val="none" w:sz="0" w:space="0" w:color="auto"/>
            <w:right w:val="none" w:sz="0" w:space="0" w:color="auto"/>
          </w:divBdr>
        </w:div>
        <w:div w:id="767700722">
          <w:marLeft w:val="0"/>
          <w:marRight w:val="0"/>
          <w:marTop w:val="0"/>
          <w:marBottom w:val="0"/>
          <w:divBdr>
            <w:top w:val="none" w:sz="0" w:space="0" w:color="auto"/>
            <w:left w:val="none" w:sz="0" w:space="0" w:color="auto"/>
            <w:bottom w:val="none" w:sz="0" w:space="0" w:color="auto"/>
            <w:right w:val="none" w:sz="0" w:space="0" w:color="auto"/>
          </w:divBdr>
        </w:div>
        <w:div w:id="167864201">
          <w:marLeft w:val="0"/>
          <w:marRight w:val="0"/>
          <w:marTop w:val="0"/>
          <w:marBottom w:val="0"/>
          <w:divBdr>
            <w:top w:val="none" w:sz="0" w:space="0" w:color="auto"/>
            <w:left w:val="none" w:sz="0" w:space="0" w:color="auto"/>
            <w:bottom w:val="none" w:sz="0" w:space="0" w:color="auto"/>
            <w:right w:val="none" w:sz="0" w:space="0" w:color="auto"/>
          </w:divBdr>
        </w:div>
        <w:div w:id="598870867">
          <w:marLeft w:val="0"/>
          <w:marRight w:val="0"/>
          <w:marTop w:val="0"/>
          <w:marBottom w:val="0"/>
          <w:divBdr>
            <w:top w:val="none" w:sz="0" w:space="0" w:color="auto"/>
            <w:left w:val="none" w:sz="0" w:space="0" w:color="auto"/>
            <w:bottom w:val="none" w:sz="0" w:space="0" w:color="auto"/>
            <w:right w:val="none" w:sz="0" w:space="0" w:color="auto"/>
          </w:divBdr>
        </w:div>
        <w:div w:id="1817801503">
          <w:marLeft w:val="0"/>
          <w:marRight w:val="0"/>
          <w:marTop w:val="0"/>
          <w:marBottom w:val="0"/>
          <w:divBdr>
            <w:top w:val="none" w:sz="0" w:space="0" w:color="auto"/>
            <w:left w:val="none" w:sz="0" w:space="0" w:color="auto"/>
            <w:bottom w:val="none" w:sz="0" w:space="0" w:color="auto"/>
            <w:right w:val="none" w:sz="0" w:space="0" w:color="auto"/>
          </w:divBdr>
        </w:div>
        <w:div w:id="61009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Hyderabad, India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C25C85-435A-4AF2-89AE-763114EE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Giving Sight to Soweto - END OF PROJECT EVALUATION SuMMARy OF KEY FINDINGS</vt:lpstr>
    </vt:vector>
  </TitlesOfParts>
  <Company>Prashasa Health Consultants</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Sight to Soweto - END OF PROJECT EVALUATION SuMMARy OF KEY FINDINGS</dc:title>
  <dc:creator>B.R.Shamanna</dc:creator>
  <cp:lastModifiedBy>Petronella Nichols</cp:lastModifiedBy>
  <cp:revision>2</cp:revision>
  <dcterms:created xsi:type="dcterms:W3CDTF">2018-03-24T08:26:00Z</dcterms:created>
  <dcterms:modified xsi:type="dcterms:W3CDTF">2018-03-24T08:26:00Z</dcterms:modified>
</cp:coreProperties>
</file>